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505DF7A8"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D3017A">
        <w:rPr>
          <w:rFonts w:ascii="Times New Roman" w:eastAsia="Times New Roman" w:hAnsi="Times New Roman" w:cs="Times New Roman"/>
          <w:b/>
          <w:color w:val="000000" w:themeColor="text1"/>
          <w:lang w:eastAsia="ru-RU"/>
        </w:rPr>
        <w:t>03</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D3017A">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062EFFD1"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1706AA">
        <w:rPr>
          <w:rFonts w:ascii="Times New Roman" w:eastAsiaTheme="minorEastAsia" w:hAnsi="Times New Roman" w:cs="Times New Roman"/>
          <w:b/>
          <w:bCs/>
          <w:color w:val="000000"/>
          <w:lang w:eastAsia="ru-RU"/>
        </w:rPr>
        <w:t>9</w:t>
      </w:r>
      <w:r w:rsidR="00E33BCE">
        <w:rPr>
          <w:rFonts w:ascii="Times New Roman" w:eastAsiaTheme="minorEastAsia" w:hAnsi="Times New Roman" w:cs="Times New Roman"/>
          <w:b/>
          <w:bCs/>
          <w:color w:val="000000"/>
          <w:lang w:eastAsia="ru-RU"/>
        </w:rPr>
        <w:t>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37D9A26"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B40918">
              <w:rPr>
                <w:rFonts w:ascii="Times New Roman" w:eastAsiaTheme="minorEastAsia" w:hAnsi="Times New Roman"/>
                <w:color w:val="000000"/>
                <w:lang w:eastAsia="ru-RU"/>
              </w:rPr>
              <w:t>выве</w:t>
            </w:r>
            <w:r w:rsidR="00E15373">
              <w:rPr>
                <w:rFonts w:ascii="Times New Roman" w:eastAsiaTheme="minorEastAsia" w:hAnsi="Times New Roman"/>
                <w:color w:val="000000"/>
                <w:lang w:eastAsia="ru-RU"/>
              </w:rPr>
              <w:t xml:space="preserve">ски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3F3741E" w:rsidR="00A731BF" w:rsidRPr="003D59FC" w:rsidRDefault="000F71DE"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E33BCE">
              <w:rPr>
                <w:rFonts w:ascii="Times New Roman" w:eastAsiaTheme="minorEastAsia" w:hAnsi="Times New Roman" w:cs="Times New Roman"/>
                <w:color w:val="000000"/>
                <w:lang w:eastAsia="ru-RU"/>
              </w:rPr>
              <w:t>5</w:t>
            </w:r>
            <w:r w:rsidR="00853D68">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 xml:space="preserve">сто </w:t>
            </w:r>
            <w:r w:rsidR="00E33BCE">
              <w:rPr>
                <w:rFonts w:ascii="Times New Roman" w:eastAsia="Times New Roman" w:hAnsi="Times New Roman" w:cs="Times New Roman"/>
                <w:color w:val="000000" w:themeColor="text1"/>
                <w:lang w:eastAsia="ru-RU"/>
              </w:rPr>
              <w:t>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0CDEBBF7"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1706AA">
              <w:rPr>
                <w:rFonts w:ascii="Times New Roman" w:eastAsia="Times New Roman" w:hAnsi="Times New Roman" w:cs="Times New Roman"/>
                <w:lang w:eastAsia="ru-RU"/>
              </w:rPr>
              <w:t>2</w:t>
            </w:r>
            <w:r w:rsidR="00D3017A">
              <w:rPr>
                <w:rFonts w:ascii="Times New Roman" w:eastAsia="Times New Roman" w:hAnsi="Times New Roman" w:cs="Times New Roman"/>
                <w:lang w:eastAsia="ru-RU"/>
              </w:rPr>
              <w:t>5</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2D6B8B">
              <w:rPr>
                <w:rFonts w:ascii="Times New Roman" w:eastAsia="Times New Roman" w:hAnsi="Times New Roman" w:cs="Times New Roman"/>
                <w:lang w:eastAsia="ru-RU"/>
              </w:rPr>
              <w:t>4</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1D0999C4"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1706AA">
              <w:rPr>
                <w:rFonts w:ascii="Times New Roman" w:eastAsia="Times New Roman" w:hAnsi="Times New Roman" w:cs="Times New Roman"/>
                <w:lang w:eastAsia="ru-RU"/>
              </w:rPr>
              <w:t>4</w:t>
            </w:r>
            <w:r w:rsidR="00E33BCE">
              <w:rPr>
                <w:rFonts w:ascii="Times New Roman" w:eastAsia="Times New Roman" w:hAnsi="Times New Roman" w:cs="Times New Roman"/>
                <w:lang w:eastAsia="ru-RU"/>
              </w:rPr>
              <w:t>76</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039744BE" w:rsidR="00B86534" w:rsidRPr="00082329" w:rsidRDefault="00D71003" w:rsidP="00B86534">
            <w:pPr>
              <w:spacing w:after="0" w:line="240" w:lineRule="auto"/>
              <w:jc w:val="both"/>
              <w:rPr>
                <w:rFonts w:ascii="Times New Roman" w:eastAsia="Times New Roman" w:hAnsi="Times New Roman"/>
                <w:color w:val="000000"/>
              </w:rPr>
            </w:pPr>
            <w:bookmarkStart w:id="2" w:name="_Hlk132617221"/>
            <w:bookmarkStart w:id="3" w:name="_Hlk128659376"/>
            <w:bookmarkStart w:id="4" w:name="_Hlk134015898"/>
            <w:r>
              <w:rPr>
                <w:rFonts w:ascii="Times New Roman" w:hAnsi="Times New Roman"/>
                <w:b/>
                <w:bCs/>
                <w:color w:val="000000" w:themeColor="text1"/>
              </w:rPr>
              <w:t xml:space="preserve">ИП </w:t>
            </w:r>
            <w:bookmarkEnd w:id="2"/>
            <w:r w:rsidR="00E33BCE">
              <w:rPr>
                <w:rFonts w:ascii="Times New Roman" w:hAnsi="Times New Roman"/>
                <w:b/>
                <w:bCs/>
                <w:color w:val="000000" w:themeColor="text1"/>
              </w:rPr>
              <w:t>Батуева Инна Федоровна</w:t>
            </w:r>
            <w:bookmarkEnd w:id="4"/>
          </w:p>
          <w:bookmarkEnd w:id="3"/>
          <w:p w14:paraId="4BD6A6B2" w14:textId="7866776B"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E33BCE">
              <w:rPr>
                <w:rFonts w:ascii="Times New Roman" w:eastAsiaTheme="minorEastAsia" w:hAnsi="Times New Roman" w:cs="Times New Roman"/>
                <w:color w:val="000000"/>
                <w:lang w:eastAsia="ru-RU"/>
              </w:rPr>
              <w:t>030905684719</w:t>
            </w:r>
          </w:p>
          <w:p w14:paraId="06E149EF" w14:textId="2792DD48"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E33BCE">
              <w:rPr>
                <w:rFonts w:ascii="Times New Roman" w:eastAsiaTheme="minorEastAsia" w:hAnsi="Times New Roman" w:cs="Times New Roman"/>
                <w:color w:val="000000"/>
                <w:lang w:eastAsia="ru-RU"/>
              </w:rPr>
              <w:t>319032700006617</w:t>
            </w:r>
          </w:p>
          <w:p w14:paraId="422725F0" w14:textId="772C9F1B"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r w:rsidR="00E33BCE">
              <w:rPr>
                <w:rFonts w:ascii="Times New Roman" w:hAnsi="Times New Roman"/>
                <w:color w:val="000000"/>
              </w:rPr>
              <w:t>Курумканский район, у. Алла, ул. Гагарина, д. 25, кв. 1</w:t>
            </w:r>
          </w:p>
          <w:p w14:paraId="3BC4087D" w14:textId="2D56705E"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71CCC">
              <w:rPr>
                <w:rFonts w:ascii="Times New Roman" w:eastAsiaTheme="minorEastAsia" w:hAnsi="Times New Roman" w:cs="Times New Roman"/>
                <w:color w:val="000000"/>
                <w:lang w:eastAsia="ru-RU"/>
              </w:rPr>
              <w:t>8</w:t>
            </w:r>
            <w:r w:rsidR="00E33BCE">
              <w:rPr>
                <w:rFonts w:ascii="Times New Roman" w:eastAsiaTheme="minorEastAsia" w:hAnsi="Times New Roman" w:cs="Times New Roman"/>
                <w:color w:val="000000"/>
                <w:lang w:eastAsia="ru-RU"/>
              </w:rPr>
              <w:t>9503894746 – Инна Федоровна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CD4FC0E"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1706AA">
              <w:rPr>
                <w:rFonts w:ascii="Times New Roman" w:hAnsi="Times New Roman"/>
                <w:b/>
                <w:bCs/>
                <w:color w:val="000000" w:themeColor="text1"/>
              </w:rPr>
              <w:t>1</w:t>
            </w:r>
            <w:r w:rsidR="00D3017A">
              <w:rPr>
                <w:rFonts w:ascii="Times New Roman" w:hAnsi="Times New Roman"/>
                <w:b/>
                <w:bCs/>
                <w:color w:val="000000" w:themeColor="text1"/>
              </w:rPr>
              <w:t>6</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8B1979">
              <w:rPr>
                <w:rFonts w:ascii="Times New Roman" w:eastAsiaTheme="minorEastAsia" w:hAnsi="Times New Roman"/>
                <w:b/>
                <w:bCs/>
                <w:color w:val="000000"/>
                <w:lang w:eastAsia="ru-RU"/>
              </w:rPr>
              <w:t>5</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7614B40"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1706AA">
              <w:rPr>
                <w:rFonts w:ascii="Times New Roman" w:eastAsiaTheme="minorEastAsia" w:hAnsi="Times New Roman" w:cs="Times New Roman"/>
                <w:b/>
                <w:bCs/>
                <w:i/>
                <w:color w:val="000000"/>
                <w:lang w:eastAsia="ru-RU"/>
              </w:rPr>
              <w:t>9</w:t>
            </w:r>
            <w:r w:rsidR="00E33BCE">
              <w:rPr>
                <w:rFonts w:ascii="Times New Roman" w:eastAsiaTheme="minorEastAsia" w:hAnsi="Times New Roman" w:cs="Times New Roman"/>
                <w:b/>
                <w:bCs/>
                <w:i/>
                <w:color w:val="000000"/>
                <w:lang w:eastAsia="ru-RU"/>
              </w:rPr>
              <w:t>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D3017A">
              <w:rPr>
                <w:rFonts w:ascii="Times New Roman" w:eastAsia="Calibri" w:hAnsi="Times New Roman" w:cs="Times New Roman"/>
                <w:b/>
                <w:bCs/>
                <w:i/>
              </w:rPr>
              <w:t>03</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D3017A">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5"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13AF4FE"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1706AA">
        <w:rPr>
          <w:rFonts w:ascii="Times New Roman" w:eastAsia="Times New Roman" w:hAnsi="Times New Roman" w:cs="Times New Roman"/>
          <w:b/>
          <w:color w:val="000000" w:themeColor="text1"/>
          <w:lang w:eastAsia="ru-RU"/>
        </w:rPr>
        <w:t>9</w:t>
      </w:r>
      <w:r w:rsidR="00E33BCE">
        <w:rPr>
          <w:rFonts w:ascii="Times New Roman" w:eastAsia="Times New Roman" w:hAnsi="Times New Roman" w:cs="Times New Roman"/>
          <w:b/>
          <w:color w:val="000000" w:themeColor="text1"/>
          <w:lang w:eastAsia="ru-RU"/>
        </w:rPr>
        <w:t>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D3017A">
        <w:rPr>
          <w:rFonts w:ascii="Times New Roman" w:eastAsia="Times New Roman" w:hAnsi="Times New Roman" w:cs="Times New Roman"/>
          <w:b/>
          <w:color w:val="000000" w:themeColor="text1"/>
          <w:lang w:eastAsia="ru-RU"/>
        </w:rPr>
        <w:t>03</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D3017A">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356D95CD"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F4189C" w:rsidRPr="00F4189C">
        <w:rPr>
          <w:rFonts w:ascii="Times New Roman" w:hAnsi="Times New Roman"/>
          <w:b/>
          <w:bCs/>
          <w:color w:val="000000" w:themeColor="text1"/>
        </w:rPr>
        <w:t xml:space="preserve"> </w:t>
      </w:r>
      <w:r w:rsidR="00E33BCE">
        <w:rPr>
          <w:rFonts w:ascii="Times New Roman" w:hAnsi="Times New Roman"/>
          <w:b/>
          <w:bCs/>
          <w:color w:val="000000" w:themeColor="text1"/>
        </w:rPr>
        <w:t>ИП Батуева Инна Федоровна</w:t>
      </w:r>
      <w:r w:rsidR="00E33BCE">
        <w:rPr>
          <w:rFonts w:ascii="Times New Roman" w:hAnsi="Times New Roman"/>
          <w:b/>
          <w:bCs/>
          <w:color w:val="000000" w:themeColor="text1"/>
        </w:rPr>
        <w:t xml:space="preserve"> </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2EF26DA7"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E33BCE">
        <w:rPr>
          <w:rFonts w:ascii="Times New Roman" w:hAnsi="Times New Roman"/>
          <w:b/>
          <w:bCs/>
          <w:color w:val="000000" w:themeColor="text1"/>
        </w:rPr>
        <w:t>ИП Батуева Инна Федоровна</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5"/>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C7575A1"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1706AA">
        <w:rPr>
          <w:rFonts w:ascii="Times New Roman" w:eastAsiaTheme="minorEastAsia" w:hAnsi="Times New Roman" w:cs="Times New Roman"/>
          <w:b/>
          <w:bCs/>
          <w:color w:val="000000"/>
          <w:lang w:eastAsia="ru-RU"/>
        </w:rPr>
        <w:t>9</w:t>
      </w:r>
      <w:r w:rsidR="00E33BCE">
        <w:rPr>
          <w:rFonts w:ascii="Times New Roman" w:eastAsiaTheme="minorEastAsia" w:hAnsi="Times New Roman" w:cs="Times New Roman"/>
          <w:b/>
          <w:bCs/>
          <w:color w:val="000000"/>
          <w:lang w:eastAsia="ru-RU"/>
        </w:rPr>
        <w:t>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D3017A">
        <w:rPr>
          <w:rFonts w:ascii="Times New Roman" w:eastAsiaTheme="minorEastAsia" w:hAnsi="Times New Roman" w:cs="Times New Roman"/>
          <w:b/>
          <w:bCs/>
          <w:color w:val="000000"/>
          <w:lang w:eastAsia="ru-RU"/>
        </w:rPr>
        <w:t>03</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D3017A">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7" w:name="Номердог"/>
      <w:r w:rsidRPr="00BC682F">
        <w:rPr>
          <w:rFonts w:ascii="Times New Roman" w:eastAsia="Times New Roman" w:hAnsi="Times New Roman" w:cs="Times New Roman"/>
          <w:b/>
          <w:color w:val="000000" w:themeColor="text1"/>
          <w:lang w:eastAsia="ru-RU"/>
        </w:rPr>
        <w:t>_____</w:t>
      </w:r>
      <w:bookmarkEnd w:id="7"/>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8"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8"/>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9"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10" w:name="Исполнитель"/>
      <w:r w:rsidR="00A731BF" w:rsidRPr="00BC682F">
        <w:rPr>
          <w:rFonts w:ascii="Times New Roman" w:eastAsia="Times New Roman" w:hAnsi="Times New Roman" w:cs="Times New Roman"/>
          <w:lang w:eastAsia="ru-RU"/>
        </w:rPr>
        <w:t>[Исполнитель]</w:t>
      </w:r>
      <w:bookmarkEnd w:id="10"/>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11" w:name="ИсполнителРук"/>
      <w:r w:rsidR="00A731BF" w:rsidRPr="00BC682F">
        <w:rPr>
          <w:rFonts w:ascii="Times New Roman" w:eastAsia="Times New Roman" w:hAnsi="Times New Roman" w:cs="Times New Roman"/>
          <w:noProof/>
          <w:lang w:eastAsia="ru-RU"/>
        </w:rPr>
        <w:t>[Руководитель исполнителя]</w:t>
      </w:r>
      <w:bookmarkEnd w:id="11"/>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2" w:name="ОснованиеИсп"/>
      <w:r w:rsidR="00A731BF" w:rsidRPr="00BC682F">
        <w:rPr>
          <w:rFonts w:ascii="Times New Roman" w:eastAsia="Times New Roman" w:hAnsi="Times New Roman" w:cs="Times New Roman"/>
          <w:lang w:eastAsia="ru-RU"/>
        </w:rPr>
        <w:t>[Основание исполнителя]</w:t>
      </w:r>
      <w:bookmarkEnd w:id="12"/>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3" w:name="ПолучателРук"/>
      <w:r w:rsidR="00A731BF" w:rsidRPr="00BC682F">
        <w:rPr>
          <w:rFonts w:ascii="Times New Roman" w:eastAsia="Times New Roman" w:hAnsi="Times New Roman" w:cs="Times New Roman"/>
          <w:lang w:eastAsia="ru-RU"/>
        </w:rPr>
        <w:t>[Руководитель получателя услуги]</w:t>
      </w:r>
      <w:bookmarkEnd w:id="13"/>
      <w:r w:rsidR="00A731BF" w:rsidRPr="00BC682F">
        <w:rPr>
          <w:rFonts w:ascii="Times New Roman" w:eastAsia="Times New Roman" w:hAnsi="Times New Roman" w:cs="Times New Roman"/>
          <w:lang w:eastAsia="ru-RU"/>
        </w:rPr>
        <w:t xml:space="preserve">, действующего на основании </w:t>
      </w:r>
      <w:bookmarkStart w:id="14" w:name="ОснованиеПол"/>
      <w:r w:rsidR="00A731BF" w:rsidRPr="00BC682F">
        <w:rPr>
          <w:rFonts w:ascii="Times New Roman" w:eastAsia="Times New Roman" w:hAnsi="Times New Roman" w:cs="Times New Roman"/>
          <w:lang w:eastAsia="ru-RU"/>
        </w:rPr>
        <w:t>[Основание получателя]</w:t>
      </w:r>
      <w:bookmarkEnd w:id="14"/>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5" w:name="Датаком"/>
      <w:r w:rsidR="00A731BF" w:rsidRPr="00BC682F">
        <w:rPr>
          <w:rFonts w:ascii="Times New Roman" w:eastAsia="Times New Roman" w:hAnsi="Times New Roman" w:cs="Times New Roman"/>
          <w:lang w:eastAsia="ru-RU"/>
        </w:rPr>
        <w:t>[Дата]</w:t>
      </w:r>
      <w:bookmarkEnd w:id="15"/>
      <w:r w:rsidR="00A731BF" w:rsidRPr="00BC682F">
        <w:rPr>
          <w:rFonts w:ascii="Times New Roman" w:eastAsia="Times New Roman" w:hAnsi="Times New Roman" w:cs="Times New Roman"/>
          <w:lang w:eastAsia="ru-RU"/>
        </w:rPr>
        <w:t xml:space="preserve"> г. № </w:t>
      </w:r>
      <w:bookmarkStart w:id="16" w:name="Номерком"/>
      <w:r w:rsidR="00A731BF" w:rsidRPr="00BC682F">
        <w:rPr>
          <w:rFonts w:ascii="Times New Roman" w:eastAsia="Times New Roman" w:hAnsi="Times New Roman" w:cs="Times New Roman"/>
          <w:lang w:eastAsia="ru-RU"/>
        </w:rPr>
        <w:t>[Номер]</w:t>
      </w:r>
      <w:bookmarkEnd w:id="16"/>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7"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8" w:name="_ref_16211363"/>
      <w:r w:rsidRPr="00250733">
        <w:rPr>
          <w:rFonts w:ascii="Times New Roman" w:hAnsi="Times New Roman"/>
          <w:b/>
          <w:bCs/>
          <w:color w:val="000000" w:themeColor="text1"/>
        </w:rPr>
        <w:t>Качество услуг</w:t>
      </w:r>
      <w:bookmarkStart w:id="19" w:name="_ref_16215690"/>
      <w:bookmarkEnd w:id="18"/>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9"/>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7"/>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20" w:name="_ref_16521761"/>
      <w:r w:rsidRPr="009A6FE6">
        <w:rPr>
          <w:rFonts w:ascii="Times New Roman" w:eastAsia="Times New Roman" w:hAnsi="Times New Roman" w:cs="Times New Roman"/>
          <w:b/>
          <w:bCs/>
          <w:lang w:eastAsia="ru-RU"/>
        </w:rPr>
        <w:t>Цена услуг и порядок оплаты</w:t>
      </w:r>
      <w:bookmarkEnd w:id="20"/>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1" w:name="_ref_16595667"/>
      <w:r w:rsidRPr="009A6FE6">
        <w:rPr>
          <w:rFonts w:ascii="Times New Roman" w:eastAsia="Times New Roman" w:hAnsi="Times New Roman" w:cs="Times New Roman"/>
          <w:b/>
          <w:bCs/>
          <w:lang w:eastAsia="ru-RU"/>
        </w:rPr>
        <w:t>Сроки и условия оказания услуг</w:t>
      </w:r>
      <w:bookmarkEnd w:id="21"/>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2"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Срокдог"/>
      <w:bookmarkStart w:id="24" w:name="_ref_17050221"/>
      <w:bookmarkEnd w:id="22"/>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3"/>
    </w:p>
    <w:bookmarkEnd w:id="24"/>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5" w:name="_ref_17050226"/>
      <w:r w:rsidRPr="00F0489F">
        <w:rPr>
          <w:rFonts w:ascii="Times New Roman" w:hAnsi="Times New Roman" w:cs="Times New Roman"/>
          <w:color w:val="000000" w:themeColor="text1"/>
          <w:sz w:val="22"/>
          <w:szCs w:val="22"/>
        </w:rPr>
        <w:t>Подтверждение факта оказания услуг</w:t>
      </w:r>
      <w:bookmarkEnd w:id="25"/>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6" w:name="_ref_17050227"/>
      <w:bookmarkStart w:id="27"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6"/>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8"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8"/>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9" w:name="_ref_17487076"/>
      <w:bookmarkEnd w:id="27"/>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31" w:name="_ref_17050238"/>
      <w:bookmarkEnd w:id="30"/>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31"/>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2" w:name="_ref_17491884"/>
      <w:bookmarkEnd w:id="29"/>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2"/>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3"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4" w:name="_ref_43118238"/>
      <w:bookmarkEnd w:id="33"/>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5" w:name="_ref_17768679"/>
      <w:r w:rsidRPr="00F0489F">
        <w:rPr>
          <w:rFonts w:ascii="Times New Roman" w:hAnsi="Times New Roman" w:cs="Times New Roman"/>
          <w:b/>
          <w:bCs/>
          <w:color w:val="000000" w:themeColor="text1"/>
        </w:rPr>
        <w:t>Изменение и расторжение договора</w:t>
      </w:r>
      <w:bookmarkEnd w:id="35"/>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6"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6"/>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7" w:name="_ref_17773750"/>
      <w:r w:rsidRPr="00F0489F">
        <w:rPr>
          <w:rFonts w:ascii="Times New Roman" w:hAnsi="Times New Roman" w:cs="Times New Roman"/>
          <w:color w:val="000000" w:themeColor="text1"/>
          <w:sz w:val="22"/>
          <w:szCs w:val="22"/>
        </w:rPr>
        <w:t>Расторжение Договора</w:t>
      </w:r>
      <w:bookmarkEnd w:id="37"/>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8"/>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9" w:name="_ref_17936647"/>
      <w:r w:rsidRPr="00F0489F">
        <w:rPr>
          <w:rFonts w:ascii="Times New Roman" w:hAnsi="Times New Roman" w:cs="Times New Roman"/>
          <w:b/>
          <w:bCs/>
          <w:color w:val="000000" w:themeColor="text1"/>
        </w:rPr>
        <w:t>Разрешение споров</w:t>
      </w:r>
      <w:bookmarkEnd w:id="39"/>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0"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40"/>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3"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4"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4"/>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6" w:name="_ref_18114473"/>
      <w:r w:rsidRPr="00F0489F">
        <w:rPr>
          <w:rFonts w:ascii="Times New Roman" w:hAnsi="Times New Roman" w:cs="Times New Roman"/>
          <w:b/>
          <w:bCs/>
          <w:color w:val="000000" w:themeColor="text1"/>
        </w:rPr>
        <w:lastRenderedPageBreak/>
        <w:t>Заключительные положения</w:t>
      </w:r>
      <w:bookmarkEnd w:id="46"/>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7"/>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8"/>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9"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9"/>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2"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3"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9"/>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3FC41556"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D3017A">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6F68ED7"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F4189C" w:rsidRPr="00F4189C">
        <w:rPr>
          <w:rFonts w:ascii="Times New Roman" w:hAnsi="Times New Roman"/>
          <w:b/>
          <w:bCs/>
          <w:color w:val="000000" w:themeColor="text1"/>
        </w:rPr>
        <w:t xml:space="preserve"> </w:t>
      </w:r>
      <w:r w:rsidR="00E33BCE">
        <w:rPr>
          <w:rFonts w:ascii="Times New Roman" w:hAnsi="Times New Roman"/>
          <w:b/>
          <w:bCs/>
          <w:color w:val="000000" w:themeColor="text1"/>
        </w:rPr>
        <w:t>ИП Батуева Инна Федоровна</w:t>
      </w:r>
      <w:r w:rsidR="00E33BCE">
        <w:rPr>
          <w:rFonts w:ascii="Times New Roman" w:hAnsi="Times New Roman"/>
          <w:b/>
          <w:bCs/>
          <w:color w:val="000000" w:themeColor="text1"/>
        </w:rPr>
        <w:t xml:space="preserve"> </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33BCE" w:rsidRDefault="00631B7B" w:rsidP="001706AA">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D3017A">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на </w:t>
      </w:r>
      <w:r w:rsidR="002A5032" w:rsidRPr="00E33BCE">
        <w:rPr>
          <w:rFonts w:ascii="Times New Roman" w:eastAsiaTheme="minorEastAsia" w:hAnsi="Times New Roman" w:cs="Times New Roman"/>
          <w:color w:val="000000"/>
          <w:lang w:eastAsia="ru-RU"/>
        </w:rPr>
        <w:t>профессиональный доход»</w:t>
      </w:r>
      <w:r w:rsidR="00055BC9" w:rsidRPr="00E33BCE">
        <w:rPr>
          <w:rFonts w:ascii="Times New Roman" w:eastAsiaTheme="minorEastAsia" w:hAnsi="Times New Roman" w:cs="Times New Roman"/>
          <w:color w:val="000000"/>
          <w:lang w:eastAsia="ru-RU"/>
        </w:rPr>
        <w:t>.</w:t>
      </w:r>
    </w:p>
    <w:p w14:paraId="5DE0C221" w14:textId="77777777" w:rsidR="00AA3C08" w:rsidRPr="00E33BCE" w:rsidRDefault="00631B7B" w:rsidP="001706AA">
      <w:pPr>
        <w:spacing w:after="0" w:line="240" w:lineRule="auto"/>
        <w:jc w:val="both"/>
        <w:rPr>
          <w:rFonts w:ascii="Times New Roman" w:eastAsia="Calibri" w:hAnsi="Times New Roman" w:cs="Times New Roman"/>
          <w:b/>
          <w:color w:val="000000"/>
        </w:rPr>
      </w:pPr>
      <w:r w:rsidRPr="00E33BCE">
        <w:rPr>
          <w:rFonts w:ascii="Times New Roman" w:eastAsia="Calibri" w:hAnsi="Times New Roman" w:cs="Times New Roman"/>
          <w:b/>
          <w:color w:val="000000"/>
        </w:rPr>
        <w:t>5.</w:t>
      </w:r>
      <w:r w:rsidR="003D59FC" w:rsidRPr="00E33BCE">
        <w:rPr>
          <w:rFonts w:ascii="Times New Roman" w:eastAsia="Calibri" w:hAnsi="Times New Roman" w:cs="Times New Roman"/>
          <w:b/>
          <w:color w:val="000000"/>
        </w:rPr>
        <w:t xml:space="preserve"> </w:t>
      </w:r>
      <w:r w:rsidRPr="00E33BCE">
        <w:rPr>
          <w:rFonts w:ascii="Times New Roman" w:eastAsia="Calibri" w:hAnsi="Times New Roman" w:cs="Times New Roman"/>
          <w:b/>
          <w:color w:val="000000"/>
        </w:rPr>
        <w:t>Основное содержание услуг:</w:t>
      </w:r>
      <w:r w:rsidR="007E3C7B" w:rsidRPr="00E33BCE">
        <w:rPr>
          <w:rFonts w:ascii="Times New Roman" w:eastAsia="Calibri" w:hAnsi="Times New Roman" w:cs="Times New Roman"/>
          <w:b/>
          <w:color w:val="000000"/>
        </w:rPr>
        <w:t xml:space="preserve"> </w:t>
      </w:r>
      <w:bookmarkStart w:id="56" w:name="_Hlk86425854"/>
    </w:p>
    <w:p w14:paraId="454AB759" w14:textId="10AD1D90" w:rsidR="00E33BCE" w:rsidRPr="00E33BCE" w:rsidRDefault="00E33BCE" w:rsidP="00E33BCE">
      <w:pPr>
        <w:spacing w:after="0" w:line="240" w:lineRule="auto"/>
        <w:jc w:val="both"/>
        <w:rPr>
          <w:rFonts w:ascii="Times New Roman" w:hAnsi="Times New Roman" w:cs="Times New Roman"/>
          <w:b/>
          <w:bCs/>
        </w:rPr>
      </w:pPr>
      <w:r w:rsidRPr="00E33BCE">
        <w:rPr>
          <w:rFonts w:ascii="Times New Roman" w:hAnsi="Times New Roman" w:cs="Times New Roman"/>
          <w:b/>
          <w:bCs/>
        </w:rPr>
        <w:t>Световой короб с лицевой панелью из композита, буквы на прорезь + буквы плоские не световые на подложке из композита.</w:t>
      </w:r>
    </w:p>
    <w:p w14:paraId="4801CDEC" w14:textId="3F1C89E7" w:rsidR="00E33BCE" w:rsidRPr="00E33BCE" w:rsidRDefault="00E33BCE" w:rsidP="00E33BCE">
      <w:pPr>
        <w:spacing w:after="0" w:line="240" w:lineRule="auto"/>
        <w:jc w:val="both"/>
        <w:rPr>
          <w:rFonts w:ascii="Times New Roman" w:hAnsi="Times New Roman" w:cs="Times New Roman"/>
          <w:b/>
        </w:rPr>
      </w:pPr>
      <w:r w:rsidRPr="00E33BCE">
        <w:rPr>
          <w:noProof/>
          <w:lang w:eastAsia="ru-RU"/>
        </w:rPr>
        <w:drawing>
          <wp:inline distT="0" distB="0" distL="0" distR="0" wp14:anchorId="44E33CC2" wp14:editId="7E9C1BBA">
            <wp:extent cx="6031230" cy="1623098"/>
            <wp:effectExtent l="0" t="0" r="7620" b="0"/>
            <wp:docPr id="1" name="Рисунок 1" descr="C:\Users\Aspi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ire\Desktop\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1230" cy="1623098"/>
                    </a:xfrm>
                    <a:prstGeom prst="rect">
                      <a:avLst/>
                    </a:prstGeom>
                    <a:noFill/>
                    <a:ln>
                      <a:noFill/>
                    </a:ln>
                  </pic:spPr>
                </pic:pic>
              </a:graphicData>
            </a:graphic>
          </wp:inline>
        </w:drawing>
      </w:r>
    </w:p>
    <w:p w14:paraId="5E68B223" w14:textId="77777777" w:rsidR="00E33BCE" w:rsidRPr="00E33BCE" w:rsidRDefault="00E33BCE" w:rsidP="00E33BCE">
      <w:pPr>
        <w:spacing w:after="0" w:line="240" w:lineRule="auto"/>
        <w:jc w:val="both"/>
        <w:rPr>
          <w:rFonts w:ascii="Times New Roman" w:hAnsi="Times New Roman" w:cs="Times New Roman"/>
        </w:rPr>
      </w:pPr>
      <w:r w:rsidRPr="00E33BCE">
        <w:rPr>
          <w:rFonts w:ascii="Times New Roman" w:hAnsi="Times New Roman" w:cs="Times New Roman"/>
          <w:b/>
          <w:bCs/>
        </w:rPr>
        <w:t>Максимальный размер:</w:t>
      </w:r>
      <w:r w:rsidRPr="00E33BCE">
        <w:rPr>
          <w:rFonts w:ascii="Times New Roman" w:hAnsi="Times New Roman" w:cs="Times New Roman"/>
        </w:rPr>
        <w:t xml:space="preserve"> 12.61*0.70*0.10 м.</w:t>
      </w:r>
    </w:p>
    <w:p w14:paraId="7186DCA0" w14:textId="77777777" w:rsidR="00E33BCE" w:rsidRPr="00E33BCE" w:rsidRDefault="00E33BCE" w:rsidP="00E33BCE">
      <w:pPr>
        <w:spacing w:after="0" w:line="240" w:lineRule="auto"/>
        <w:jc w:val="both"/>
        <w:rPr>
          <w:rFonts w:ascii="Times New Roman" w:hAnsi="Times New Roman" w:cs="Times New Roman"/>
        </w:rPr>
      </w:pPr>
      <w:r w:rsidRPr="00E33BCE">
        <w:rPr>
          <w:rFonts w:ascii="Times New Roman" w:hAnsi="Times New Roman" w:cs="Times New Roman"/>
        </w:rPr>
        <w:t>Высота букв: КАФЕ – 0.48 м., ЛОГОТИП ХАЛУУН САЙ – 0.65 м., буквы ХАЛУУН САЙ: заглавная – 0.53 м., прописная – 0.35 м.</w:t>
      </w:r>
    </w:p>
    <w:p w14:paraId="5DCAE640" w14:textId="77777777" w:rsidR="00E33BCE" w:rsidRPr="00E33BCE" w:rsidRDefault="00E33BCE" w:rsidP="00E33BCE">
      <w:pPr>
        <w:spacing w:after="0" w:line="240" w:lineRule="auto"/>
        <w:jc w:val="both"/>
        <w:rPr>
          <w:rFonts w:ascii="Times New Roman" w:hAnsi="Times New Roman" w:cs="Times New Roman"/>
        </w:rPr>
      </w:pPr>
      <w:r w:rsidRPr="00E33BCE">
        <w:rPr>
          <w:rFonts w:ascii="Times New Roman" w:hAnsi="Times New Roman" w:cs="Times New Roman"/>
        </w:rPr>
        <w:t xml:space="preserve">Цвет вывески/букв: </w:t>
      </w:r>
    </w:p>
    <w:p w14:paraId="4BF01677" w14:textId="77777777" w:rsidR="00E33BCE" w:rsidRPr="00E33BCE" w:rsidRDefault="00E33BCE" w:rsidP="00E33BCE">
      <w:pPr>
        <w:spacing w:after="0" w:line="240" w:lineRule="auto"/>
        <w:jc w:val="both"/>
        <w:rPr>
          <w:rFonts w:ascii="Times New Roman" w:hAnsi="Times New Roman" w:cs="Times New Roman"/>
          <w:b/>
          <w:bCs/>
        </w:rPr>
      </w:pPr>
      <w:r w:rsidRPr="00E33BCE">
        <w:rPr>
          <w:rFonts w:ascii="Times New Roman" w:hAnsi="Times New Roman" w:cs="Times New Roman"/>
        </w:rPr>
        <w:t>ВЫВЕСКА – коричневый, бока – коричневый; КАФЕ – желтый, оранжевый; ОРНАМЕНТ - бежевый, ЛОГОТИП ХАЛУУН САЙ – бежевый, оранжевый, желтый, коричневый; буквы ХАЛУУН САЙ   -желтый, оранжевый.</w:t>
      </w:r>
    </w:p>
    <w:p w14:paraId="549ABEAD" w14:textId="77777777" w:rsidR="00E33BCE" w:rsidRPr="00E33BCE" w:rsidRDefault="00E33BCE" w:rsidP="00E33BCE">
      <w:pPr>
        <w:spacing w:after="0" w:line="240" w:lineRule="auto"/>
        <w:jc w:val="both"/>
        <w:rPr>
          <w:rFonts w:ascii="Times New Roman" w:hAnsi="Times New Roman" w:cs="Times New Roman"/>
          <w:b/>
          <w:bCs/>
        </w:rPr>
      </w:pPr>
      <w:r w:rsidRPr="00E33BCE">
        <w:rPr>
          <w:rFonts w:ascii="Times New Roman" w:hAnsi="Times New Roman" w:cs="Times New Roman"/>
          <w:b/>
          <w:bCs/>
        </w:rPr>
        <w:t>Материалы для изготовления вывески:</w:t>
      </w:r>
    </w:p>
    <w:p w14:paraId="4F91DED2" w14:textId="77777777" w:rsidR="00E33BCE" w:rsidRPr="00E33BCE" w:rsidRDefault="00E33BCE" w:rsidP="00E33BCE">
      <w:pPr>
        <w:spacing w:after="0" w:line="240" w:lineRule="auto"/>
        <w:jc w:val="both"/>
        <w:rPr>
          <w:rFonts w:ascii="Times New Roman" w:hAnsi="Times New Roman" w:cs="Times New Roman"/>
        </w:rPr>
      </w:pPr>
      <w:r w:rsidRPr="00E33BCE">
        <w:rPr>
          <w:rFonts w:ascii="Times New Roman" w:hAnsi="Times New Roman" w:cs="Times New Roman"/>
          <w:b/>
          <w:bCs/>
        </w:rPr>
        <w:t>Лицевая часть</w:t>
      </w:r>
      <w:r w:rsidRPr="00E33BCE">
        <w:rPr>
          <w:rFonts w:ascii="Times New Roman" w:hAnsi="Times New Roman" w:cs="Times New Roman"/>
        </w:rPr>
        <w:t xml:space="preserve">: световой короб с лицевой панелью из композита, буквы на прорезь: АКП 3 мм. </w:t>
      </w:r>
      <w:bookmarkStart w:id="57" w:name="_Hlk132636463"/>
      <w:r w:rsidRPr="00E33BCE">
        <w:rPr>
          <w:rFonts w:ascii="Times New Roman" w:hAnsi="Times New Roman" w:cs="Times New Roman"/>
          <w:lang w:val="en-US"/>
        </w:rPr>
        <w:t>GROSSBOND</w:t>
      </w:r>
      <w:r w:rsidRPr="00E33BCE">
        <w:rPr>
          <w:rFonts w:ascii="Times New Roman" w:hAnsi="Times New Roman" w:cs="Times New Roman"/>
        </w:rPr>
        <w:t xml:space="preserve"> </w:t>
      </w:r>
      <w:r w:rsidRPr="00E33BCE">
        <w:rPr>
          <w:rFonts w:ascii="Times New Roman" w:hAnsi="Times New Roman" w:cs="Times New Roman"/>
          <w:lang w:val="en-US"/>
        </w:rPr>
        <w:t>GR</w:t>
      </w:r>
      <w:r w:rsidRPr="00E33BCE">
        <w:rPr>
          <w:rFonts w:ascii="Times New Roman" w:hAnsi="Times New Roman" w:cs="Times New Roman"/>
        </w:rPr>
        <w:t xml:space="preserve"> 8017 </w:t>
      </w:r>
      <w:bookmarkEnd w:id="57"/>
      <w:r w:rsidRPr="00E33BCE">
        <w:rPr>
          <w:rFonts w:ascii="Times New Roman" w:hAnsi="Times New Roman" w:cs="Times New Roman"/>
        </w:rPr>
        <w:t xml:space="preserve">+ акриловое стекло молочное 3 мм. + пленка </w:t>
      </w:r>
      <w:proofErr w:type="spellStart"/>
      <w:r w:rsidRPr="00E33BCE">
        <w:rPr>
          <w:rFonts w:ascii="Times New Roman" w:hAnsi="Times New Roman" w:cs="Times New Roman"/>
        </w:rPr>
        <w:t>Оракал</w:t>
      </w:r>
      <w:proofErr w:type="spellEnd"/>
      <w:r w:rsidRPr="00E33BCE">
        <w:rPr>
          <w:rFonts w:ascii="Times New Roman" w:hAnsi="Times New Roman" w:cs="Times New Roman"/>
        </w:rPr>
        <w:t xml:space="preserve"> 8500 (№020, 805, 034).</w:t>
      </w:r>
    </w:p>
    <w:p w14:paraId="2A1DEE50" w14:textId="77777777" w:rsidR="00E33BCE" w:rsidRPr="00E33BCE" w:rsidRDefault="00E33BCE" w:rsidP="00E33BCE">
      <w:pPr>
        <w:spacing w:after="0" w:line="240" w:lineRule="auto"/>
        <w:jc w:val="both"/>
        <w:rPr>
          <w:rFonts w:ascii="Times New Roman" w:hAnsi="Times New Roman" w:cs="Times New Roman"/>
        </w:rPr>
      </w:pPr>
      <w:bookmarkStart w:id="58" w:name="_Hlk132636479"/>
      <w:r w:rsidRPr="00E33BCE">
        <w:rPr>
          <w:rFonts w:ascii="Times New Roman" w:hAnsi="Times New Roman" w:cs="Times New Roman"/>
        </w:rPr>
        <w:t>Буквы плоские не световые на подложке из композита:</w:t>
      </w:r>
      <w:bookmarkEnd w:id="58"/>
      <w:r w:rsidRPr="00E33BCE">
        <w:rPr>
          <w:rFonts w:ascii="Times New Roman" w:hAnsi="Times New Roman" w:cs="Times New Roman"/>
        </w:rPr>
        <w:t xml:space="preserve"> АКП 3 мм. </w:t>
      </w:r>
      <w:r w:rsidRPr="00E33BCE">
        <w:rPr>
          <w:rFonts w:ascii="Times New Roman" w:hAnsi="Times New Roman" w:cs="Times New Roman"/>
          <w:lang w:val="en-US"/>
        </w:rPr>
        <w:t>GROSSBOND</w:t>
      </w:r>
      <w:r w:rsidRPr="00E33BCE">
        <w:rPr>
          <w:rFonts w:ascii="Times New Roman" w:hAnsi="Times New Roman" w:cs="Times New Roman"/>
        </w:rPr>
        <w:t xml:space="preserve"> </w:t>
      </w:r>
      <w:r w:rsidRPr="00E33BCE">
        <w:rPr>
          <w:rFonts w:ascii="Times New Roman" w:hAnsi="Times New Roman" w:cs="Times New Roman"/>
          <w:lang w:val="en-US"/>
        </w:rPr>
        <w:t>GR</w:t>
      </w:r>
      <w:r w:rsidRPr="00E33BCE">
        <w:rPr>
          <w:rFonts w:ascii="Times New Roman" w:hAnsi="Times New Roman" w:cs="Times New Roman"/>
        </w:rPr>
        <w:t xml:space="preserve"> 8017 + пленка </w:t>
      </w:r>
      <w:proofErr w:type="spellStart"/>
      <w:r w:rsidRPr="00E33BCE">
        <w:rPr>
          <w:rFonts w:ascii="Times New Roman" w:hAnsi="Times New Roman" w:cs="Times New Roman"/>
        </w:rPr>
        <w:t>Оракал</w:t>
      </w:r>
      <w:proofErr w:type="spellEnd"/>
      <w:r w:rsidRPr="00E33BCE">
        <w:rPr>
          <w:rFonts w:ascii="Times New Roman" w:hAnsi="Times New Roman" w:cs="Times New Roman"/>
        </w:rPr>
        <w:t xml:space="preserve"> 641 (№021, 082, 080, 034) </w:t>
      </w:r>
      <w:proofErr w:type="spellStart"/>
      <w:r w:rsidRPr="00E33BCE">
        <w:rPr>
          <w:rFonts w:ascii="Times New Roman" w:hAnsi="Times New Roman" w:cs="Times New Roman"/>
        </w:rPr>
        <w:t>плоттерная</w:t>
      </w:r>
      <w:proofErr w:type="spellEnd"/>
      <w:r w:rsidRPr="00E33BCE">
        <w:rPr>
          <w:rFonts w:ascii="Times New Roman" w:hAnsi="Times New Roman" w:cs="Times New Roman"/>
        </w:rPr>
        <w:t xml:space="preserve"> резка.</w:t>
      </w:r>
    </w:p>
    <w:p w14:paraId="594C4C9A" w14:textId="77777777" w:rsidR="00E33BCE" w:rsidRPr="00E33BCE" w:rsidRDefault="00E33BCE" w:rsidP="00E33BCE">
      <w:pPr>
        <w:spacing w:after="0" w:line="240" w:lineRule="auto"/>
        <w:jc w:val="both"/>
        <w:rPr>
          <w:rFonts w:ascii="Times New Roman" w:hAnsi="Times New Roman" w:cs="Times New Roman"/>
        </w:rPr>
      </w:pPr>
      <w:r w:rsidRPr="00E33BCE">
        <w:rPr>
          <w:rFonts w:ascii="Times New Roman" w:hAnsi="Times New Roman" w:cs="Times New Roman"/>
          <w:b/>
          <w:bCs/>
        </w:rPr>
        <w:t>Борт</w:t>
      </w:r>
      <w:r w:rsidRPr="00E33BCE">
        <w:rPr>
          <w:rFonts w:ascii="Times New Roman" w:hAnsi="Times New Roman" w:cs="Times New Roman"/>
        </w:rPr>
        <w:t xml:space="preserve">: </w:t>
      </w:r>
      <w:bookmarkStart w:id="59" w:name="_Hlk132636590"/>
      <w:r w:rsidRPr="00E33BCE">
        <w:rPr>
          <w:rFonts w:ascii="Times New Roman" w:hAnsi="Times New Roman" w:cs="Times New Roman"/>
        </w:rPr>
        <w:t xml:space="preserve">световой короб с лицевой панелью из композита, буквы на прорезь: </w:t>
      </w:r>
      <w:bookmarkEnd w:id="59"/>
      <w:r w:rsidRPr="00E33BCE">
        <w:rPr>
          <w:rFonts w:ascii="Times New Roman" w:hAnsi="Times New Roman" w:cs="Times New Roman"/>
        </w:rPr>
        <w:t xml:space="preserve">АКП 3 мм. </w:t>
      </w:r>
      <w:r w:rsidRPr="00E33BCE">
        <w:rPr>
          <w:rFonts w:ascii="Times New Roman" w:hAnsi="Times New Roman" w:cs="Times New Roman"/>
          <w:lang w:val="en-US"/>
        </w:rPr>
        <w:t>GROSSBOND</w:t>
      </w:r>
      <w:r w:rsidRPr="00E33BCE">
        <w:rPr>
          <w:rFonts w:ascii="Times New Roman" w:hAnsi="Times New Roman" w:cs="Times New Roman"/>
        </w:rPr>
        <w:t xml:space="preserve"> </w:t>
      </w:r>
      <w:r w:rsidRPr="00E33BCE">
        <w:rPr>
          <w:rFonts w:ascii="Times New Roman" w:hAnsi="Times New Roman" w:cs="Times New Roman"/>
          <w:lang w:val="en-US"/>
        </w:rPr>
        <w:t>GR</w:t>
      </w:r>
      <w:r w:rsidRPr="00E33BCE">
        <w:rPr>
          <w:rFonts w:ascii="Times New Roman" w:hAnsi="Times New Roman" w:cs="Times New Roman"/>
        </w:rPr>
        <w:t xml:space="preserve"> 8017 глубина короба 0.10 м.</w:t>
      </w:r>
    </w:p>
    <w:p w14:paraId="5F238C1B" w14:textId="77777777" w:rsidR="00E33BCE" w:rsidRPr="00E33BCE" w:rsidRDefault="00E33BCE" w:rsidP="00E33BCE">
      <w:pPr>
        <w:spacing w:after="0" w:line="240" w:lineRule="auto"/>
        <w:jc w:val="both"/>
        <w:rPr>
          <w:rFonts w:ascii="Times New Roman" w:hAnsi="Times New Roman" w:cs="Times New Roman"/>
        </w:rPr>
      </w:pPr>
      <w:r w:rsidRPr="00E33BCE">
        <w:rPr>
          <w:rFonts w:ascii="Times New Roman" w:hAnsi="Times New Roman" w:cs="Times New Roman"/>
        </w:rPr>
        <w:t xml:space="preserve">Буквы плоские не световые на подложке из композита: АКП 3 мм. </w:t>
      </w:r>
      <w:r w:rsidRPr="00E33BCE">
        <w:rPr>
          <w:rFonts w:ascii="Times New Roman" w:hAnsi="Times New Roman" w:cs="Times New Roman"/>
          <w:lang w:val="en-US"/>
        </w:rPr>
        <w:t>GROSSBOND</w:t>
      </w:r>
      <w:r w:rsidRPr="00E33BCE">
        <w:rPr>
          <w:rFonts w:ascii="Times New Roman" w:hAnsi="Times New Roman" w:cs="Times New Roman"/>
        </w:rPr>
        <w:t xml:space="preserve"> </w:t>
      </w:r>
      <w:r w:rsidRPr="00E33BCE">
        <w:rPr>
          <w:rFonts w:ascii="Times New Roman" w:hAnsi="Times New Roman" w:cs="Times New Roman"/>
          <w:lang w:val="en-US"/>
        </w:rPr>
        <w:t>GR</w:t>
      </w:r>
      <w:r w:rsidRPr="00E33BCE">
        <w:rPr>
          <w:rFonts w:ascii="Times New Roman" w:hAnsi="Times New Roman" w:cs="Times New Roman"/>
        </w:rPr>
        <w:t xml:space="preserve"> 8017 глубина 0.02 м.</w:t>
      </w:r>
    </w:p>
    <w:p w14:paraId="71C2D1AE" w14:textId="77777777" w:rsidR="00E33BCE" w:rsidRPr="00E33BCE" w:rsidRDefault="00E33BCE" w:rsidP="00E33BCE">
      <w:pPr>
        <w:spacing w:after="0" w:line="240" w:lineRule="auto"/>
        <w:jc w:val="both"/>
        <w:rPr>
          <w:rFonts w:ascii="Times New Roman" w:hAnsi="Times New Roman" w:cs="Times New Roman"/>
        </w:rPr>
      </w:pPr>
      <w:r w:rsidRPr="00E33BCE">
        <w:rPr>
          <w:rFonts w:ascii="Times New Roman" w:hAnsi="Times New Roman" w:cs="Times New Roman"/>
          <w:b/>
          <w:bCs/>
        </w:rPr>
        <w:t>Задник:</w:t>
      </w:r>
      <w:r w:rsidRPr="00E33BCE">
        <w:rPr>
          <w:rFonts w:ascii="Times New Roman" w:hAnsi="Times New Roman" w:cs="Times New Roman"/>
        </w:rPr>
        <w:t xml:space="preserve"> световой короб с лицевой панелью из композита, буквы на прорезь: АКП 3 мм.</w:t>
      </w:r>
    </w:p>
    <w:p w14:paraId="59F2F34D" w14:textId="77777777" w:rsidR="00E33BCE" w:rsidRPr="00E33BCE" w:rsidRDefault="00E33BCE" w:rsidP="00E33BCE">
      <w:pPr>
        <w:spacing w:after="0" w:line="240" w:lineRule="auto"/>
        <w:jc w:val="both"/>
        <w:rPr>
          <w:rFonts w:ascii="Times New Roman" w:hAnsi="Times New Roman" w:cs="Times New Roman"/>
        </w:rPr>
      </w:pPr>
      <w:r w:rsidRPr="00E33BCE">
        <w:rPr>
          <w:rFonts w:ascii="Times New Roman" w:hAnsi="Times New Roman" w:cs="Times New Roman"/>
        </w:rPr>
        <w:t>Буквы плоские не световые на подложке из композита: нет.</w:t>
      </w:r>
    </w:p>
    <w:p w14:paraId="586CAACF" w14:textId="77777777" w:rsidR="00E33BCE" w:rsidRPr="00E33BCE" w:rsidRDefault="00E33BCE" w:rsidP="00E33BCE">
      <w:pPr>
        <w:spacing w:after="0" w:line="240" w:lineRule="auto"/>
        <w:jc w:val="both"/>
        <w:rPr>
          <w:rFonts w:ascii="Times New Roman" w:hAnsi="Times New Roman" w:cs="Times New Roman"/>
        </w:rPr>
      </w:pPr>
      <w:r w:rsidRPr="00E33BCE">
        <w:rPr>
          <w:rFonts w:ascii="Times New Roman" w:hAnsi="Times New Roman" w:cs="Times New Roman"/>
          <w:b/>
        </w:rPr>
        <w:t>Каркас:</w:t>
      </w:r>
      <w:r w:rsidRPr="00E33BCE">
        <w:rPr>
          <w:rFonts w:ascii="Times New Roman" w:hAnsi="Times New Roman" w:cs="Times New Roman"/>
        </w:rPr>
        <w:t xml:space="preserve"> Труба профильная 20*20*2, окрашена эмалью в 2 раза серого цвета.</w:t>
      </w:r>
    </w:p>
    <w:p w14:paraId="5BE1BF3C" w14:textId="77777777" w:rsidR="00E33BCE" w:rsidRPr="00E33BCE" w:rsidRDefault="00E33BCE" w:rsidP="00E33BCE">
      <w:pPr>
        <w:spacing w:after="0" w:line="240" w:lineRule="auto"/>
        <w:jc w:val="both"/>
        <w:rPr>
          <w:rFonts w:ascii="Times New Roman" w:hAnsi="Times New Roman" w:cs="Times New Roman"/>
        </w:rPr>
      </w:pPr>
      <w:r w:rsidRPr="00E33BCE">
        <w:rPr>
          <w:rFonts w:ascii="Times New Roman" w:hAnsi="Times New Roman" w:cs="Times New Roman"/>
          <w:b/>
        </w:rPr>
        <w:t xml:space="preserve">Подсветка </w:t>
      </w:r>
      <w:r w:rsidRPr="00E33BCE">
        <w:rPr>
          <w:rFonts w:ascii="Times New Roman" w:hAnsi="Times New Roman" w:cs="Times New Roman"/>
        </w:rPr>
        <w:t>- Светодиодный модуль AIDA MY-5630 (4SMD)</w:t>
      </w:r>
    </w:p>
    <w:p w14:paraId="7E723A2F" w14:textId="77777777" w:rsidR="00E33BCE" w:rsidRPr="00E33BCE" w:rsidRDefault="00E33BCE" w:rsidP="00E33BCE">
      <w:pPr>
        <w:spacing w:after="0" w:line="240" w:lineRule="auto"/>
        <w:jc w:val="both"/>
        <w:rPr>
          <w:rFonts w:ascii="Times New Roman" w:hAnsi="Times New Roman" w:cs="Times New Roman"/>
          <w:b/>
        </w:rPr>
      </w:pPr>
      <w:r w:rsidRPr="00E33BCE">
        <w:rPr>
          <w:rFonts w:ascii="Times New Roman" w:hAnsi="Times New Roman" w:cs="Times New Roman"/>
          <w:b/>
        </w:rPr>
        <w:t>БЛОК ПИТАНИЯ</w:t>
      </w:r>
      <w:r w:rsidRPr="00E33BCE">
        <w:rPr>
          <w:rFonts w:ascii="Times New Roman" w:hAnsi="Times New Roman" w:cs="Times New Roman"/>
        </w:rPr>
        <w:t xml:space="preserve"> IP 67 300 ВТ.</w:t>
      </w:r>
      <w:r w:rsidRPr="00E33BCE">
        <w:rPr>
          <w:rFonts w:ascii="Times New Roman" w:hAnsi="Times New Roman" w:cs="Times New Roman"/>
          <w:b/>
        </w:rPr>
        <w:t xml:space="preserve"> </w:t>
      </w:r>
    </w:p>
    <w:p w14:paraId="7F2F11A9" w14:textId="77777777" w:rsidR="00E33BCE" w:rsidRPr="00E33BCE" w:rsidRDefault="00E33BCE" w:rsidP="00E33BCE">
      <w:pPr>
        <w:spacing w:after="0" w:line="240" w:lineRule="auto"/>
        <w:jc w:val="both"/>
        <w:rPr>
          <w:rFonts w:ascii="Times New Roman" w:hAnsi="Times New Roman" w:cs="Times New Roman"/>
        </w:rPr>
      </w:pPr>
      <w:r w:rsidRPr="00E33BCE">
        <w:rPr>
          <w:rFonts w:ascii="Times New Roman" w:hAnsi="Times New Roman" w:cs="Times New Roman"/>
          <w:b/>
        </w:rPr>
        <w:t xml:space="preserve">Фотореле </w:t>
      </w:r>
      <w:r w:rsidRPr="00E33BCE">
        <w:rPr>
          <w:rFonts w:ascii="Times New Roman" w:hAnsi="Times New Roman" w:cs="Times New Roman"/>
        </w:rPr>
        <w:t>IEK ФР 601</w:t>
      </w:r>
    </w:p>
    <w:p w14:paraId="4BC57283" w14:textId="77777777" w:rsidR="00E33BCE" w:rsidRPr="00E33BCE" w:rsidRDefault="00E33BCE" w:rsidP="00E33BCE">
      <w:pPr>
        <w:spacing w:after="0" w:line="240" w:lineRule="auto"/>
        <w:jc w:val="both"/>
        <w:rPr>
          <w:rFonts w:ascii="Times New Roman" w:hAnsi="Times New Roman" w:cs="Times New Roman"/>
        </w:rPr>
      </w:pPr>
      <w:r w:rsidRPr="00E33BCE">
        <w:rPr>
          <w:rFonts w:ascii="Times New Roman" w:hAnsi="Times New Roman" w:cs="Times New Roman"/>
        </w:rPr>
        <w:t>Расстояние до точки подключения на 220 Вт.:  Получатель услуги самостоятельно проводит кабель до точки подключения.</w:t>
      </w:r>
    </w:p>
    <w:p w14:paraId="70C6D7A4" w14:textId="77777777" w:rsidR="00E33BCE" w:rsidRPr="00E33BCE" w:rsidRDefault="00E33BCE" w:rsidP="00E33BCE">
      <w:pPr>
        <w:spacing w:after="0" w:line="240" w:lineRule="auto"/>
        <w:jc w:val="both"/>
        <w:rPr>
          <w:rFonts w:ascii="Times New Roman" w:hAnsi="Times New Roman" w:cs="Times New Roman"/>
          <w:b/>
        </w:rPr>
      </w:pPr>
      <w:r w:rsidRPr="00E33BCE">
        <w:rPr>
          <w:rFonts w:ascii="Times New Roman" w:hAnsi="Times New Roman" w:cs="Times New Roman"/>
        </w:rPr>
        <w:t>Высота от уровня земли до нижней части вывески –2.40 м.</w:t>
      </w:r>
    </w:p>
    <w:p w14:paraId="174B966E" w14:textId="77777777" w:rsidR="00E33BCE" w:rsidRPr="00E33BCE" w:rsidRDefault="00E33BCE" w:rsidP="00E33BCE">
      <w:pPr>
        <w:spacing w:after="0" w:line="240" w:lineRule="auto"/>
        <w:jc w:val="both"/>
        <w:rPr>
          <w:rFonts w:ascii="Times New Roman" w:hAnsi="Times New Roman" w:cs="Times New Roman"/>
        </w:rPr>
      </w:pPr>
      <w:r w:rsidRPr="00E33BCE">
        <w:rPr>
          <w:rFonts w:ascii="Times New Roman" w:hAnsi="Times New Roman" w:cs="Times New Roman"/>
          <w:bCs/>
        </w:rPr>
        <w:t>Место крепежа</w:t>
      </w:r>
      <w:r w:rsidRPr="00E33BCE">
        <w:rPr>
          <w:rFonts w:ascii="Times New Roman" w:hAnsi="Times New Roman" w:cs="Times New Roman"/>
          <w:b/>
        </w:rPr>
        <w:t xml:space="preserve"> </w:t>
      </w:r>
      <w:r w:rsidRPr="00E33BCE">
        <w:rPr>
          <w:rFonts w:ascii="Times New Roman" w:hAnsi="Times New Roman" w:cs="Times New Roman"/>
        </w:rPr>
        <w:t>–</w:t>
      </w:r>
      <w:r w:rsidRPr="00E33BCE">
        <w:rPr>
          <w:rFonts w:ascii="Times New Roman" w:hAnsi="Times New Roman" w:cs="Times New Roman"/>
          <w:b/>
        </w:rPr>
        <w:t xml:space="preserve"> </w:t>
      </w:r>
      <w:r w:rsidRPr="00E33BCE">
        <w:rPr>
          <w:rFonts w:ascii="Times New Roman" w:hAnsi="Times New Roman" w:cs="Times New Roman"/>
          <w:bCs/>
        </w:rPr>
        <w:t>фасад здания (материал стен: дерево, отделка: металлопрофиль); козырек (материал: металл, отделка: металлопрофиль).</w:t>
      </w:r>
    </w:p>
    <w:p w14:paraId="49D6CA82" w14:textId="77777777" w:rsidR="00E33BCE" w:rsidRPr="00E33BCE" w:rsidRDefault="00E33BCE" w:rsidP="00E33BCE">
      <w:pPr>
        <w:spacing w:after="0" w:line="240" w:lineRule="auto"/>
        <w:jc w:val="both"/>
        <w:rPr>
          <w:rFonts w:ascii="Times New Roman" w:hAnsi="Times New Roman" w:cs="Times New Roman"/>
          <w:b/>
          <w:bCs/>
        </w:rPr>
      </w:pPr>
      <w:r w:rsidRPr="00E33BCE">
        <w:rPr>
          <w:rFonts w:ascii="Times New Roman" w:hAnsi="Times New Roman" w:cs="Times New Roman"/>
          <w:b/>
          <w:bCs/>
        </w:rPr>
        <w:t xml:space="preserve">Место монтажа: Республика Бурятия, Курумканский р-он, с. Курумкан, ул. </w:t>
      </w:r>
      <w:proofErr w:type="spellStart"/>
      <w:r w:rsidRPr="00E33BCE">
        <w:rPr>
          <w:rFonts w:ascii="Times New Roman" w:hAnsi="Times New Roman" w:cs="Times New Roman"/>
          <w:b/>
          <w:bCs/>
        </w:rPr>
        <w:t>Балдакова</w:t>
      </w:r>
      <w:proofErr w:type="spellEnd"/>
      <w:r w:rsidRPr="00E33BCE">
        <w:rPr>
          <w:rFonts w:ascii="Times New Roman" w:hAnsi="Times New Roman" w:cs="Times New Roman"/>
          <w:b/>
          <w:bCs/>
        </w:rPr>
        <w:t xml:space="preserve"> д.44.</w:t>
      </w:r>
    </w:p>
    <w:p w14:paraId="5023C12E" w14:textId="77777777" w:rsidR="00E33BCE" w:rsidRPr="00E33BCE" w:rsidRDefault="00E33BCE" w:rsidP="00E33BCE">
      <w:pPr>
        <w:spacing w:after="0" w:line="240" w:lineRule="auto"/>
        <w:jc w:val="both"/>
        <w:rPr>
          <w:rFonts w:ascii="Times New Roman" w:hAnsi="Times New Roman" w:cs="Times New Roman"/>
          <w:b/>
          <w:bCs/>
        </w:rPr>
      </w:pPr>
      <w:r w:rsidRPr="00E33BCE">
        <w:rPr>
          <w:rFonts w:ascii="Times New Roman" w:hAnsi="Times New Roman" w:cs="Times New Roman"/>
          <w:b/>
          <w:bCs/>
        </w:rPr>
        <w:t>Расстояние от г. Улан-Удэ до объекта монтажа (с. Курумкан - 412 км.)</w:t>
      </w:r>
    </w:p>
    <w:p w14:paraId="086C74C8" w14:textId="77777777" w:rsidR="00E33BCE" w:rsidRDefault="00E33BCE" w:rsidP="00E33BCE">
      <w:pPr>
        <w:spacing w:after="0" w:line="240" w:lineRule="auto"/>
        <w:jc w:val="both"/>
        <w:rPr>
          <w:noProof/>
          <w:lang w:eastAsia="ru-RU"/>
        </w:rPr>
      </w:pPr>
    </w:p>
    <w:p w14:paraId="3558341D" w14:textId="3D1FCF9C" w:rsidR="00E33BCE" w:rsidRPr="00E33BCE" w:rsidRDefault="00E33BCE" w:rsidP="00E33BCE">
      <w:pPr>
        <w:spacing w:after="0" w:line="240" w:lineRule="auto"/>
        <w:jc w:val="both"/>
        <w:rPr>
          <w:rFonts w:ascii="Times New Roman" w:hAnsi="Times New Roman" w:cs="Times New Roman"/>
        </w:rPr>
      </w:pPr>
      <w:r w:rsidRPr="00E33BCE">
        <w:rPr>
          <w:noProof/>
          <w:lang w:eastAsia="ru-RU"/>
        </w:rPr>
        <w:lastRenderedPageBreak/>
        <w:drawing>
          <wp:inline distT="0" distB="0" distL="0" distR="0" wp14:anchorId="50DF2049" wp14:editId="7665001C">
            <wp:extent cx="5367131" cy="1808331"/>
            <wp:effectExtent l="0" t="0" r="5080" b="1905"/>
            <wp:docPr id="4" name="Рисунок 4" descr="C:\Users\Aspire\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pire\Desktop\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6993"/>
                    <a:stretch/>
                  </pic:blipFill>
                  <pic:spPr bwMode="auto">
                    <a:xfrm>
                      <a:off x="0" y="0"/>
                      <a:ext cx="5387441" cy="1815174"/>
                    </a:xfrm>
                    <a:prstGeom prst="rect">
                      <a:avLst/>
                    </a:prstGeom>
                    <a:noFill/>
                    <a:ln>
                      <a:noFill/>
                    </a:ln>
                    <a:extLst>
                      <a:ext uri="{53640926-AAD7-44D8-BBD7-CCE9431645EC}">
                        <a14:shadowObscured xmlns:a14="http://schemas.microsoft.com/office/drawing/2010/main"/>
                      </a:ext>
                    </a:extLst>
                  </pic:spPr>
                </pic:pic>
              </a:graphicData>
            </a:graphic>
          </wp:inline>
        </w:drawing>
      </w:r>
    </w:p>
    <w:p w14:paraId="13D40DD6" w14:textId="77777777" w:rsidR="00E33BCE" w:rsidRPr="00E33BCE" w:rsidRDefault="00E33BCE" w:rsidP="00E33BCE">
      <w:pPr>
        <w:spacing w:after="0" w:line="240" w:lineRule="auto"/>
        <w:jc w:val="both"/>
        <w:rPr>
          <w:rFonts w:ascii="Times New Roman" w:hAnsi="Times New Roman" w:cs="Times New Roman"/>
        </w:rPr>
      </w:pPr>
    </w:p>
    <w:p w14:paraId="4923814A" w14:textId="77777777" w:rsidR="00E33BCE" w:rsidRPr="00E33BCE" w:rsidRDefault="00E33BCE" w:rsidP="00E33BCE">
      <w:pPr>
        <w:spacing w:after="0" w:line="240" w:lineRule="auto"/>
        <w:jc w:val="both"/>
        <w:rPr>
          <w:rFonts w:ascii="Times New Roman" w:hAnsi="Times New Roman" w:cs="Times New Roman"/>
        </w:rPr>
      </w:pPr>
      <w:r w:rsidRPr="00E33BCE">
        <w:rPr>
          <w:rFonts w:ascii="Times New Roman" w:hAnsi="Times New Roman" w:cs="Times New Roman"/>
        </w:rPr>
        <w:t xml:space="preserve">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 </w:t>
      </w:r>
      <w:r w:rsidRPr="00E33BCE">
        <w:rPr>
          <w:rFonts w:ascii="Times New Roman" w:hAnsi="Times New Roman" w:cs="Times New Roman"/>
        </w:rPr>
        <w:br/>
        <w:t>Демонтаж - делает сам Получатель услуги. Утилизация - делает сам Получатель услуги.</w:t>
      </w:r>
    </w:p>
    <w:p w14:paraId="7223D6B6" w14:textId="77777777" w:rsidR="00E33BCE" w:rsidRPr="00E33BCE" w:rsidRDefault="00E33BCE" w:rsidP="00E33BCE">
      <w:pPr>
        <w:spacing w:after="0" w:line="240" w:lineRule="auto"/>
        <w:jc w:val="both"/>
        <w:rPr>
          <w:rFonts w:ascii="Times New Roman" w:hAnsi="Times New Roman" w:cs="Times New Roman"/>
        </w:rPr>
      </w:pPr>
      <w:r w:rsidRPr="00E33BCE">
        <w:rPr>
          <w:rFonts w:ascii="Times New Roman" w:hAnsi="Times New Roman" w:cs="Times New Roman"/>
        </w:rPr>
        <w:t>Рекомендованные размеры относительно здания: для 1,2 этажных зданий высота не более 80см, общая длина не более 1/2 длины фасада здания.</w:t>
      </w:r>
    </w:p>
    <w:p w14:paraId="2DC3901C" w14:textId="77777777" w:rsidR="008B1979" w:rsidRPr="00E33BCE" w:rsidRDefault="008B1979" w:rsidP="001706AA">
      <w:pPr>
        <w:spacing w:after="0" w:line="240" w:lineRule="auto"/>
        <w:jc w:val="both"/>
        <w:rPr>
          <w:rFonts w:ascii="Times New Roman" w:hAnsi="Times New Roman" w:cs="Times New Roman"/>
          <w:b/>
          <w:color w:val="000000"/>
        </w:rPr>
      </w:pPr>
    </w:p>
    <w:p w14:paraId="2B9CA443" w14:textId="37E4F6F9" w:rsidR="00EF4AF3" w:rsidRPr="001706AA" w:rsidRDefault="00F51A2A" w:rsidP="001706AA">
      <w:pPr>
        <w:spacing w:after="0" w:line="240" w:lineRule="auto"/>
        <w:jc w:val="both"/>
        <w:rPr>
          <w:rFonts w:ascii="Times New Roman" w:hAnsi="Times New Roman" w:cs="Times New Roman"/>
          <w:b/>
          <w:color w:val="000000"/>
        </w:rPr>
      </w:pPr>
      <w:r w:rsidRPr="00E33BCE">
        <w:rPr>
          <w:rFonts w:ascii="Times New Roman" w:hAnsi="Times New Roman" w:cs="Times New Roman"/>
          <w:b/>
          <w:color w:val="000000"/>
        </w:rPr>
        <w:t>На вывес</w:t>
      </w:r>
      <w:r w:rsidR="007C220E" w:rsidRPr="00E33BCE">
        <w:rPr>
          <w:rFonts w:ascii="Times New Roman" w:hAnsi="Times New Roman" w:cs="Times New Roman"/>
          <w:b/>
          <w:color w:val="000000"/>
        </w:rPr>
        <w:t>к</w:t>
      </w:r>
      <w:r w:rsidR="00F4189C" w:rsidRPr="00E33BCE">
        <w:rPr>
          <w:rFonts w:ascii="Times New Roman" w:hAnsi="Times New Roman" w:cs="Times New Roman"/>
          <w:b/>
          <w:color w:val="000000"/>
        </w:rPr>
        <w:t>е</w:t>
      </w:r>
      <w:r w:rsidRPr="00E33BCE">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w:t>
      </w:r>
      <w:r w:rsidRPr="001706AA">
        <w:rPr>
          <w:rFonts w:ascii="Times New Roman" w:hAnsi="Times New Roman" w:cs="Times New Roman"/>
          <w:b/>
          <w:color w:val="000000"/>
        </w:rPr>
        <w:t xml:space="preserve"> изделия.</w:t>
      </w:r>
    </w:p>
    <w:p w14:paraId="507B2F0E" w14:textId="77777777" w:rsidR="00152E2F" w:rsidRPr="001706AA" w:rsidRDefault="00152E2F" w:rsidP="001706AA">
      <w:pPr>
        <w:spacing w:after="0" w:line="240" w:lineRule="auto"/>
        <w:jc w:val="both"/>
        <w:rPr>
          <w:rFonts w:ascii="Times New Roman" w:hAnsi="Times New Roman" w:cs="Times New Roman"/>
          <w:b/>
          <w:color w:val="000000"/>
        </w:rPr>
      </w:pPr>
    </w:p>
    <w:p w14:paraId="4BE97BD0" w14:textId="33565916" w:rsidR="00F51A2A" w:rsidRPr="001706AA" w:rsidRDefault="00AC55F8" w:rsidP="001706AA">
      <w:pPr>
        <w:pStyle w:val="a3"/>
        <w:spacing w:after="0" w:line="240" w:lineRule="auto"/>
        <w:ind w:left="0"/>
        <w:jc w:val="both"/>
        <w:rPr>
          <w:rStyle w:val="af"/>
          <w:rFonts w:ascii="Times New Roman" w:hAnsi="Times New Roman" w:cs="Times New Roman"/>
          <w:color w:val="000000"/>
          <w:shd w:val="clear" w:color="auto" w:fill="FFFFFF"/>
        </w:rPr>
      </w:pPr>
      <w:r w:rsidRPr="001706AA">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77777777" w:rsidR="00EF4AF3" w:rsidRPr="001706AA" w:rsidRDefault="00EF4AF3" w:rsidP="001706AA">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Pr="002C681A" w:rsidRDefault="00F51A2A" w:rsidP="008A6754">
      <w:pPr>
        <w:pStyle w:val="a3"/>
        <w:spacing w:after="0" w:line="240" w:lineRule="auto"/>
        <w:ind w:left="0"/>
        <w:jc w:val="both"/>
        <w:rPr>
          <w:rStyle w:val="af"/>
          <w:rFonts w:ascii="Times New Roman" w:hAnsi="Times New Roman" w:cs="Times New Roman"/>
          <w:color w:val="000000"/>
          <w:shd w:val="clear" w:color="auto" w:fill="FFFFFF"/>
        </w:rPr>
      </w:pPr>
      <w:r w:rsidRPr="002C681A">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Pr="002C681A" w:rsidRDefault="00F51A2A" w:rsidP="008A6754">
      <w:pPr>
        <w:pStyle w:val="a3"/>
        <w:spacing w:after="0" w:line="240" w:lineRule="auto"/>
        <w:ind w:left="0"/>
        <w:jc w:val="both"/>
        <w:rPr>
          <w:rStyle w:val="af"/>
          <w:rFonts w:ascii="Times New Roman" w:hAnsi="Times New Roman" w:cs="Times New Roman"/>
          <w:color w:val="000000"/>
          <w:shd w:val="clear" w:color="auto" w:fill="FFFFFF"/>
        </w:rPr>
      </w:pPr>
    </w:p>
    <w:bookmarkEnd w:id="56"/>
    <w:p w14:paraId="7AB1F15E" w14:textId="4EDDB8FB" w:rsidR="00631B7B" w:rsidRPr="002C681A" w:rsidRDefault="00631B7B" w:rsidP="008A6754">
      <w:pPr>
        <w:widowControl w:val="0"/>
        <w:autoSpaceDE w:val="0"/>
        <w:autoSpaceDN w:val="0"/>
        <w:adjustRightInd w:val="0"/>
        <w:spacing w:after="0" w:line="240" w:lineRule="auto"/>
        <w:jc w:val="both"/>
        <w:rPr>
          <w:rFonts w:ascii="Times New Roman" w:eastAsia="Calibri" w:hAnsi="Times New Roman" w:cs="Times New Roman"/>
          <w:bCs/>
        </w:rPr>
      </w:pPr>
      <w:r w:rsidRPr="002C681A">
        <w:rPr>
          <w:rFonts w:ascii="Times New Roman" w:eastAsia="Calibri" w:hAnsi="Times New Roman" w:cs="Times New Roman"/>
          <w:b/>
          <w:bCs/>
        </w:rPr>
        <w:t xml:space="preserve">6. Конфиденциальность информации: </w:t>
      </w:r>
      <w:r w:rsidRPr="002C681A">
        <w:rPr>
          <w:rFonts w:ascii="Times New Roman" w:eastAsia="Calibri" w:hAnsi="Times New Roman" w:cs="Times New Roman"/>
          <w:bCs/>
        </w:rPr>
        <w:t xml:space="preserve">Результаты работы являются конфиденциальной информацией. </w:t>
      </w:r>
      <w:r w:rsidRPr="002C681A">
        <w:rPr>
          <w:rFonts w:ascii="Times New Roman" w:eastAsia="Calibri" w:hAnsi="Times New Roman" w:cs="Times New Roman"/>
        </w:rPr>
        <w:t>Получатель услуги</w:t>
      </w:r>
      <w:r w:rsidRPr="002C681A">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C681A">
        <w:rPr>
          <w:rFonts w:ascii="Times New Roman" w:eastAsia="Calibri" w:hAnsi="Times New Roman" w:cs="Times New Roman"/>
        </w:rPr>
        <w:t>Получателя услуги</w:t>
      </w:r>
      <w:r w:rsidRPr="002C681A">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C681A">
        <w:rPr>
          <w:rFonts w:ascii="Times New Roman" w:eastAsia="Calibri" w:hAnsi="Times New Roman" w:cs="Times New Roman"/>
        </w:rPr>
        <w:t>Получателя услуги</w:t>
      </w:r>
      <w:r w:rsidRPr="002C681A">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2C681A">
        <w:rPr>
          <w:rFonts w:ascii="Times New Roman" w:eastAsia="Times New Roman" w:hAnsi="Times New Roman" w:cs="Times New Roman"/>
          <w:b/>
          <w:bCs/>
          <w:color w:val="000000"/>
          <w:lang w:eastAsia="ru-RU"/>
        </w:rPr>
        <w:t>7. По требованию Получателя</w:t>
      </w:r>
      <w:r w:rsidRPr="002C681A">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w:t>
      </w:r>
      <w:r w:rsidRPr="00AF7F4E">
        <w:rPr>
          <w:rFonts w:ascii="Times New Roman" w:eastAsia="Times New Roman" w:hAnsi="Times New Roman" w:cs="Times New Roman"/>
          <w:color w:val="000000"/>
          <w:lang w:eastAsia="ru-RU"/>
        </w:rPr>
        <w:t xml:space="preserve">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5F1B92B7" w14:textId="01CAEEEB" w:rsidR="008C75E0" w:rsidRPr="005E4A26" w:rsidRDefault="00705A2B" w:rsidP="005E4A26">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D039454"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2A87B0AA" w14:textId="77777777" w:rsidR="00D3017A" w:rsidRDefault="00D3017A" w:rsidP="00E33BCE">
      <w:pPr>
        <w:tabs>
          <w:tab w:val="left" w:pos="567"/>
        </w:tabs>
        <w:suppressAutoHyphens/>
        <w:rPr>
          <w:rFonts w:ascii="Times New Roman" w:eastAsia="Times New Roman" w:hAnsi="Times New Roman" w:cs="Times New Roman"/>
          <w:lang w:eastAsia="ru-RU"/>
        </w:rPr>
      </w:pPr>
    </w:p>
    <w:p w14:paraId="7C0780EC" w14:textId="77777777" w:rsidR="00E33BCE" w:rsidRDefault="00E33BCE" w:rsidP="00E33BCE">
      <w:pPr>
        <w:tabs>
          <w:tab w:val="left" w:pos="567"/>
        </w:tabs>
        <w:suppressAutoHyphens/>
        <w:rPr>
          <w:rFonts w:ascii="Times New Roman" w:eastAsia="Times New Roman" w:hAnsi="Times New Roman" w:cs="Times New Roman"/>
          <w:lang w:eastAsia="ru-RU"/>
        </w:rPr>
      </w:pPr>
    </w:p>
    <w:p w14:paraId="345CF63E" w14:textId="77777777" w:rsidR="001706AA" w:rsidRDefault="001706AA" w:rsidP="006D451A">
      <w:pPr>
        <w:tabs>
          <w:tab w:val="left" w:pos="567"/>
        </w:tabs>
        <w:suppressAutoHyphens/>
        <w:jc w:val="right"/>
        <w:rPr>
          <w:rFonts w:ascii="Times New Roman" w:eastAsia="Times New Roman" w:hAnsi="Times New Roman" w:cs="Times New Roman"/>
          <w:lang w:eastAsia="ru-RU"/>
        </w:rPr>
      </w:pPr>
    </w:p>
    <w:p w14:paraId="05694C54" w14:textId="77777777" w:rsidR="001706AA" w:rsidRDefault="001706AA" w:rsidP="006D451A">
      <w:pPr>
        <w:tabs>
          <w:tab w:val="left" w:pos="567"/>
        </w:tabs>
        <w:suppressAutoHyphens/>
        <w:jc w:val="right"/>
        <w:rPr>
          <w:rFonts w:ascii="Times New Roman" w:eastAsia="Times New Roman" w:hAnsi="Times New Roman" w:cs="Times New Roman"/>
          <w:lang w:eastAsia="ru-RU"/>
        </w:rPr>
      </w:pPr>
    </w:p>
    <w:p w14:paraId="676DF702" w14:textId="77777777" w:rsidR="001706AA" w:rsidRDefault="001706AA" w:rsidP="006D451A">
      <w:pPr>
        <w:tabs>
          <w:tab w:val="left" w:pos="567"/>
        </w:tabs>
        <w:suppressAutoHyphens/>
        <w:jc w:val="right"/>
        <w:rPr>
          <w:rFonts w:ascii="Times New Roman" w:eastAsia="Times New Roman" w:hAnsi="Times New Roman" w:cs="Times New Roman"/>
          <w:lang w:eastAsia="ru-RU"/>
        </w:rPr>
      </w:pPr>
    </w:p>
    <w:p w14:paraId="36AD26DB" w14:textId="5F76515C"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60" w:name="Номердог1"/>
      <w:r w:rsidRPr="00BC682F">
        <w:rPr>
          <w:rFonts w:ascii="Times New Roman" w:eastAsia="Arial" w:hAnsi="Times New Roman" w:cs="Times New Roman"/>
        </w:rPr>
        <w:t>____</w:t>
      </w:r>
      <w:bookmarkEnd w:id="60"/>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Исполнитель1"/>
      <w:r w:rsidRPr="00BC682F">
        <w:rPr>
          <w:rFonts w:ascii="Times New Roman" w:eastAsia="Times New Roman" w:hAnsi="Times New Roman" w:cs="Times New Roman"/>
          <w:lang w:eastAsia="ru-RU"/>
        </w:rPr>
        <w:t>[Исполнитель]</w:t>
      </w:r>
      <w:bookmarkEnd w:id="61"/>
      <w:r w:rsidRPr="00BC682F">
        <w:rPr>
          <w:rFonts w:ascii="Times New Roman" w:eastAsia="Times New Roman" w:hAnsi="Times New Roman" w:cs="Times New Roman"/>
          <w:lang w:eastAsia="ru-RU"/>
        </w:rPr>
        <w:t xml:space="preserve">, именуемое в дальнейшем «Исполнитель», в лице </w:t>
      </w:r>
      <w:bookmarkStart w:id="62" w:name="ИсполнителРук1"/>
      <w:r w:rsidRPr="00BC682F">
        <w:rPr>
          <w:rFonts w:ascii="Times New Roman" w:eastAsia="Times New Roman" w:hAnsi="Times New Roman" w:cs="Times New Roman"/>
          <w:lang w:eastAsia="ru-RU"/>
        </w:rPr>
        <w:t>[Руководитель исполнителя]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Исп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4" w:name="Получатель1"/>
      <w:r w:rsidRPr="00BC682F">
        <w:rPr>
          <w:rFonts w:ascii="Times New Roman" w:eastAsia="Times New Roman" w:hAnsi="Times New Roman" w:cs="Times New Roman"/>
          <w:lang w:eastAsia="ru-RU"/>
        </w:rPr>
        <w:t>[Получатель]</w:t>
      </w:r>
      <w:bookmarkEnd w:id="64"/>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5" w:name="ПолучателРук1"/>
      <w:r w:rsidRPr="00BC682F">
        <w:rPr>
          <w:rFonts w:ascii="Times New Roman" w:eastAsia="Times New Roman" w:hAnsi="Times New Roman" w:cs="Times New Roman"/>
          <w:lang w:eastAsia="ru-RU"/>
        </w:rPr>
        <w:t>[Руководитель получателя]</w:t>
      </w:r>
      <w:bookmarkEnd w:id="65"/>
      <w:r w:rsidRPr="00BC682F">
        <w:rPr>
          <w:rFonts w:ascii="Times New Roman" w:eastAsia="Times New Roman" w:hAnsi="Times New Roman" w:cs="Times New Roman"/>
          <w:lang w:eastAsia="ru-RU"/>
        </w:rPr>
        <w:t xml:space="preserve">, действующего на основании </w:t>
      </w:r>
      <w:bookmarkStart w:id="66" w:name="ОснованиеПол1"/>
      <w:r w:rsidRPr="00BC682F">
        <w:rPr>
          <w:rFonts w:ascii="Times New Roman" w:eastAsia="Times New Roman" w:hAnsi="Times New Roman" w:cs="Times New Roman"/>
          <w:lang w:eastAsia="ru-RU"/>
        </w:rPr>
        <w:t>[Основание]</w:t>
      </w:r>
      <w:bookmarkEnd w:id="66"/>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7"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7"/>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8"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8"/>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9"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9"/>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70"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70"/>
            <w:r w:rsidRPr="00BC682F">
              <w:rPr>
                <w:rFonts w:ascii="Times New Roman" w:eastAsia="Times New Roman" w:hAnsi="Times New Roman" w:cs="Times New Roman"/>
                <w:lang w:eastAsia="ru-RU"/>
              </w:rPr>
              <w:t xml:space="preserve"> (</w:t>
            </w:r>
            <w:bookmarkStart w:id="71"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71"/>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72"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72"/>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3"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4"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5"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5"/>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6"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6"/>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7"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7"/>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2"/>
  </w:num>
  <w:num w:numId="4" w16cid:durableId="1246912238">
    <w:abstractNumId w:val="29"/>
  </w:num>
  <w:num w:numId="5" w16cid:durableId="850997169">
    <w:abstractNumId w:val="10"/>
  </w:num>
  <w:num w:numId="6" w16cid:durableId="1727560239">
    <w:abstractNumId w:val="30"/>
  </w:num>
  <w:num w:numId="7" w16cid:durableId="1470368110">
    <w:abstractNumId w:val="36"/>
  </w:num>
  <w:num w:numId="8" w16cid:durableId="1895583567">
    <w:abstractNumId w:val="5"/>
  </w:num>
  <w:num w:numId="9" w16cid:durableId="1247031269">
    <w:abstractNumId w:val="21"/>
  </w:num>
  <w:num w:numId="10" w16cid:durableId="723791874">
    <w:abstractNumId w:val="11"/>
  </w:num>
  <w:num w:numId="11" w16cid:durableId="36974686">
    <w:abstractNumId w:val="23"/>
  </w:num>
  <w:num w:numId="12" w16cid:durableId="1337999908">
    <w:abstractNumId w:val="31"/>
  </w:num>
  <w:num w:numId="13" w16cid:durableId="581455723">
    <w:abstractNumId w:val="27"/>
  </w:num>
  <w:num w:numId="14" w16cid:durableId="193545981">
    <w:abstractNumId w:val="18"/>
  </w:num>
  <w:num w:numId="15" w16cid:durableId="591862527">
    <w:abstractNumId w:val="14"/>
  </w:num>
  <w:num w:numId="16" w16cid:durableId="1525090255">
    <w:abstractNumId w:val="26"/>
  </w:num>
  <w:num w:numId="17" w16cid:durableId="1353142195">
    <w:abstractNumId w:val="7"/>
  </w:num>
  <w:num w:numId="18" w16cid:durableId="1107652944">
    <w:abstractNumId w:val="15"/>
  </w:num>
  <w:num w:numId="19" w16cid:durableId="1758166668">
    <w:abstractNumId w:val="38"/>
  </w:num>
  <w:num w:numId="20" w16cid:durableId="276106678">
    <w:abstractNumId w:val="9"/>
  </w:num>
  <w:num w:numId="21" w16cid:durableId="1064914144">
    <w:abstractNumId w:val="17"/>
  </w:num>
  <w:num w:numId="22" w16cid:durableId="9723411">
    <w:abstractNumId w:val="6"/>
  </w:num>
  <w:num w:numId="23" w16cid:durableId="1303315469">
    <w:abstractNumId w:val="34"/>
  </w:num>
  <w:num w:numId="24" w16cid:durableId="337319381">
    <w:abstractNumId w:val="13"/>
  </w:num>
  <w:num w:numId="25" w16cid:durableId="876117938">
    <w:abstractNumId w:val="24"/>
  </w:num>
  <w:num w:numId="26" w16cid:durableId="885483313">
    <w:abstractNumId w:val="20"/>
  </w:num>
  <w:num w:numId="27" w16cid:durableId="76438428">
    <w:abstractNumId w:val="22"/>
  </w:num>
  <w:num w:numId="28" w16cid:durableId="1211113678">
    <w:abstractNumId w:val="39"/>
  </w:num>
  <w:num w:numId="29" w16cid:durableId="1211459723">
    <w:abstractNumId w:val="8"/>
  </w:num>
  <w:num w:numId="30" w16cid:durableId="1732339884">
    <w:abstractNumId w:val="33"/>
  </w:num>
  <w:num w:numId="31" w16cid:durableId="117916568">
    <w:abstractNumId w:val="32"/>
  </w:num>
  <w:num w:numId="32" w16cid:durableId="1994410923">
    <w:abstractNumId w:val="28"/>
  </w:num>
  <w:num w:numId="33" w16cid:durableId="39521354">
    <w:abstractNumId w:val="40"/>
  </w:num>
  <w:num w:numId="34" w16cid:durableId="34014460">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37"/>
  </w:num>
  <w:num w:numId="36" w16cid:durableId="389576227">
    <w:abstractNumId w:val="0"/>
  </w:num>
  <w:num w:numId="37" w16cid:durableId="1825775250">
    <w:abstractNumId w:val="25"/>
  </w:num>
  <w:num w:numId="38" w16cid:durableId="72051894">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06AA"/>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52"/>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6446"/>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69D7"/>
    <w:rsid w:val="00B60289"/>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017A"/>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15373"/>
    <w:rsid w:val="00E24054"/>
    <w:rsid w:val="00E27945"/>
    <w:rsid w:val="00E3375C"/>
    <w:rsid w:val="00E33BCE"/>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189C"/>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03680913">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14</Pages>
  <Words>5766</Words>
  <Characters>32872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126</cp:revision>
  <cp:lastPrinted>2023-04-28T08:49:00Z</cp:lastPrinted>
  <dcterms:created xsi:type="dcterms:W3CDTF">2021-07-27T07:59:00Z</dcterms:created>
  <dcterms:modified xsi:type="dcterms:W3CDTF">2023-05-03T06:20:00Z</dcterms:modified>
</cp:coreProperties>
</file>