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6C3A3DAB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F62553">
        <w:rPr>
          <w:b/>
          <w:sz w:val="24"/>
          <w:szCs w:val="24"/>
        </w:rPr>
        <w:t>3</w:t>
      </w:r>
      <w:r w:rsidR="00160477" w:rsidRPr="001D6247">
        <w:rPr>
          <w:b/>
          <w:sz w:val="24"/>
          <w:szCs w:val="24"/>
        </w:rPr>
        <w:t>-</w:t>
      </w:r>
      <w:r w:rsidR="002E143E">
        <w:rPr>
          <w:b/>
          <w:sz w:val="24"/>
          <w:szCs w:val="24"/>
        </w:rPr>
        <w:t>___</w:t>
      </w:r>
    </w:p>
    <w:p w14:paraId="0A0276BF" w14:textId="5AE3DEA1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 xml:space="preserve">в </w:t>
      </w:r>
      <w:r w:rsidR="002E143E">
        <w:rPr>
          <w:rFonts w:ascii="Times New Roman" w:eastAsiaTheme="minorHAnsi" w:hAnsi="Times New Roman" w:cs="Times New Roman"/>
          <w:b/>
          <w:lang w:eastAsia="en-US"/>
        </w:rPr>
        <w:t>Республику Узбекистан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236DFA5E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2E143E">
        <w:rPr>
          <w:rStyle w:val="ad"/>
          <w:rFonts w:ascii="Times New Roman" w:hAnsi="Times New Roman" w:cs="Times New Roman"/>
          <w:shd w:val="clear" w:color="auto" w:fill="FFFFFF"/>
        </w:rPr>
        <w:t>_____</w:t>
      </w:r>
      <w:r w:rsidR="00F62553">
        <w:rPr>
          <w:rStyle w:val="ad"/>
          <w:rFonts w:ascii="Times New Roman" w:hAnsi="Times New Roman" w:cs="Times New Roman"/>
          <w:shd w:val="clear" w:color="auto" w:fill="FFFFFF"/>
        </w:rPr>
        <w:t>.2023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221E6644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6E67AB4B" w14:textId="741E432A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2E143E">
        <w:t>________________</w:t>
      </w:r>
      <w:r w:rsidR="00F62553" w:rsidRPr="00756A85">
        <w:t xml:space="preserve"> именуемый в дальнейшем 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1695FF2E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>№</w:t>
      </w:r>
      <w:r w:rsidR="00F62553">
        <w:rPr>
          <w:sz w:val="24"/>
          <w:szCs w:val="24"/>
        </w:rPr>
        <w:t>ЦЭ-23-</w:t>
      </w:r>
      <w:r w:rsidR="002E143E">
        <w:rPr>
          <w:sz w:val="24"/>
          <w:szCs w:val="24"/>
        </w:rPr>
        <w:t>__</w:t>
      </w:r>
      <w:r w:rsidR="00F62553">
        <w:rPr>
          <w:sz w:val="24"/>
          <w:szCs w:val="24"/>
        </w:rPr>
        <w:t xml:space="preserve"> от </w:t>
      </w:r>
      <w:r w:rsidR="002E143E">
        <w:rPr>
          <w:sz w:val="24"/>
          <w:szCs w:val="24"/>
        </w:rPr>
        <w:t>____</w:t>
      </w:r>
      <w:r w:rsidR="00F62553">
        <w:rPr>
          <w:sz w:val="24"/>
          <w:szCs w:val="24"/>
        </w:rPr>
        <w:t>.2023 г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2BAD3633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2E143E">
        <w:rPr>
          <w:sz w:val="24"/>
          <w:szCs w:val="24"/>
        </w:rPr>
        <w:t>Республику Узбекистан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3E5AF0E" w14:textId="1A60D98E" w:rsidR="00BB1B91" w:rsidRPr="001D6247" w:rsidRDefault="002A7D68" w:rsidP="002E143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 w:rsidR="002E143E">
        <w:rPr>
          <w:sz w:val="24"/>
          <w:szCs w:val="24"/>
        </w:rPr>
        <w:t>, но не позднее</w:t>
      </w:r>
      <w:r w:rsidR="00BB2D07" w:rsidRPr="00BB2D07">
        <w:rPr>
          <w:sz w:val="24"/>
          <w:szCs w:val="24"/>
        </w:rPr>
        <w:t xml:space="preserve"> </w:t>
      </w:r>
      <w:r w:rsidR="002E143E">
        <w:rPr>
          <w:sz w:val="24"/>
          <w:szCs w:val="24"/>
        </w:rPr>
        <w:t>30</w:t>
      </w:r>
      <w:r w:rsidR="00F62553">
        <w:rPr>
          <w:sz w:val="24"/>
          <w:szCs w:val="24"/>
        </w:rPr>
        <w:t>.1</w:t>
      </w:r>
      <w:r w:rsidR="002E143E">
        <w:rPr>
          <w:sz w:val="24"/>
          <w:szCs w:val="24"/>
        </w:rPr>
        <w:t>1</w:t>
      </w:r>
      <w:r w:rsidR="00F62553">
        <w:rPr>
          <w:sz w:val="24"/>
          <w:szCs w:val="24"/>
        </w:rPr>
        <w:t>.2023 г</w:t>
      </w:r>
      <w:r w:rsidR="00BB2D07" w:rsidRPr="007E28B2">
        <w:rPr>
          <w:sz w:val="24"/>
          <w:szCs w:val="24"/>
        </w:rPr>
        <w:t>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2DF29F96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2E143E">
        <w:rPr>
          <w:b/>
          <w:bCs/>
          <w:sz w:val="24"/>
          <w:szCs w:val="24"/>
        </w:rPr>
        <w:t>________</w:t>
      </w:r>
      <w:r w:rsidR="00DA1E42">
        <w:rPr>
          <w:b/>
          <w:bCs/>
          <w:sz w:val="24"/>
          <w:szCs w:val="24"/>
        </w:rPr>
        <w:t xml:space="preserve"> (</w:t>
      </w:r>
      <w:r w:rsidR="002E143E">
        <w:rPr>
          <w:b/>
          <w:bCs/>
          <w:sz w:val="24"/>
          <w:szCs w:val="24"/>
        </w:rPr>
        <w:t>___________</w:t>
      </w:r>
      <w:r w:rsidR="00DA1E42">
        <w:rPr>
          <w:b/>
          <w:bCs/>
          <w:sz w:val="24"/>
          <w:szCs w:val="24"/>
        </w:rPr>
        <w:t xml:space="preserve"> тысяч) рублей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</w:t>
      </w:r>
      <w:r w:rsidRPr="001D6247">
        <w:rPr>
          <w:sz w:val="24"/>
          <w:szCs w:val="24"/>
        </w:rPr>
        <w:lastRenderedPageBreak/>
        <w:t>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461583C9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E143E">
        <w:rPr>
          <w:b/>
          <w:bCs/>
          <w:sz w:val="24"/>
          <w:szCs w:val="24"/>
        </w:rPr>
        <w:t>29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0075D4">
        <w:rPr>
          <w:b/>
          <w:bCs/>
          <w:sz w:val="24"/>
          <w:szCs w:val="24"/>
        </w:rPr>
        <w:t>3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088C87BD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доверенности №07-01/03 от 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240A5AF3" w14:textId="77777777" w:rsidR="00DA1E42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7F52D6E" w14:textId="3C4FEFBF" w:rsidR="00DA1E42" w:rsidRPr="00434CF1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7EC7AD04" w14:textId="77777777" w:rsidR="00254BF7" w:rsidRDefault="00254BF7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2D214B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C9567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5997BC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DCF1C4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F066E9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845E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3AD6D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84EE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1A3646" w14:textId="5A692134" w:rsidR="002E143E" w:rsidRPr="001D6247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08A015C4" w14:textId="77777777" w:rsidR="002E143E" w:rsidRDefault="002E143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0" w:name="_Hlk3895366"/>
      <w:r>
        <w:br w:type="page"/>
      </w:r>
    </w:p>
    <w:p w14:paraId="278B2786" w14:textId="6C07F71D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207807EA" w14:textId="39E28411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к </w:t>
      </w:r>
      <w:r>
        <w:rPr>
          <w:rFonts w:ascii="Times New Roman" w:eastAsia="Times New Roman" w:hAnsi="Times New Roman" w:cs="Times New Roman"/>
          <w:color w:val="auto"/>
          <w:lang w:eastAsia="en-US"/>
        </w:rPr>
        <w:t>договору №</w:t>
      </w:r>
      <w:r w:rsidR="00DA1E42" w:rsidRPr="00DA1E42">
        <w:t xml:space="preserve"> </w:t>
      </w:r>
      <w:r w:rsidR="00DA1E42" w:rsidRPr="00DA1E42">
        <w:rPr>
          <w:rFonts w:ascii="Times New Roman" w:eastAsia="Times New Roman" w:hAnsi="Times New Roman" w:cs="Times New Roman"/>
          <w:color w:val="auto"/>
          <w:lang w:eastAsia="en-US"/>
        </w:rPr>
        <w:t>ЦЭ-2023-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_______</w:t>
      </w:r>
      <w:r w:rsidR="00DA1E42">
        <w:rPr>
          <w:rFonts w:ascii="Times New Roman" w:eastAsia="Times New Roman" w:hAnsi="Times New Roman" w:cs="Times New Roman"/>
          <w:color w:val="auto"/>
          <w:lang w:eastAsia="en-US"/>
        </w:rPr>
        <w:t>.2023 г.</w:t>
      </w:r>
    </w:p>
    <w:p w14:paraId="331AD5DC" w14:textId="77777777" w:rsidR="00F62553" w:rsidRDefault="00F62553" w:rsidP="00F62553">
      <w:pPr>
        <w:jc w:val="center"/>
        <w:rPr>
          <w:rFonts w:ascii="Times New Roman" w:hAnsi="Times New Roman" w:cs="Times New Roman"/>
        </w:rPr>
      </w:pPr>
    </w:p>
    <w:p w14:paraId="3FBAA1CE" w14:textId="7275FA93" w:rsidR="00F62553" w:rsidRPr="001D6247" w:rsidRDefault="00F62553" w:rsidP="00F62553">
      <w:pPr>
        <w:jc w:val="center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75DE20FE" w14:textId="77777777" w:rsidR="00F62553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65A4A336" w14:textId="702C43FE" w:rsidR="00F62553" w:rsidRPr="001D6247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2E143E">
        <w:rPr>
          <w:rFonts w:ascii="Times New Roman" w:eastAsiaTheme="minorHAnsi" w:hAnsi="Times New Roman" w:cs="Times New Roman"/>
          <w:color w:val="auto"/>
          <w:lang w:eastAsia="en-US"/>
        </w:rPr>
        <w:t>Республику Узбекистан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78164108" w14:textId="77777777" w:rsidR="00F62553" w:rsidRPr="001D6247" w:rsidRDefault="00F62553" w:rsidP="00F62553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8C9B7C3" w14:textId="77777777" w:rsidR="00F62553" w:rsidRDefault="00F62553" w:rsidP="002E143E">
      <w:pPr>
        <w:pStyle w:val="a9"/>
        <w:numPr>
          <w:ilvl w:val="0"/>
          <w:numId w:val="15"/>
        </w:numPr>
        <w:ind w:left="0" w:firstLine="426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Гарантийного фонда РБ.</w:t>
      </w:r>
    </w:p>
    <w:p w14:paraId="3D9B5E06" w14:textId="21405BBE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  <w:r w:rsidR="002E143E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____</w:t>
      </w:r>
    </w:p>
    <w:p w14:paraId="0C72F023" w14:textId="1BC8AA78" w:rsidR="00F62553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2E143E">
        <w:rPr>
          <w:rFonts w:ascii="Times New Roman" w:eastAsiaTheme="minorHAnsi" w:hAnsi="Times New Roman" w:cs="Times New Roman"/>
          <w:color w:val="auto"/>
          <w:lang w:eastAsia="en-US"/>
        </w:rPr>
        <w:t>Республика Узбекистан</w:t>
      </w:r>
    </w:p>
    <w:p w14:paraId="3CD70A47" w14:textId="7D48E68C" w:rsidR="00DA1E42" w:rsidRPr="00DA1E42" w:rsidRDefault="00DA1E42" w:rsidP="00DA1E42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2E143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сентябрь 2023 г. (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 согласованию с Заказчиком)</w:t>
      </w:r>
    </w:p>
    <w:p w14:paraId="30732E08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4DB9AF0A" w14:textId="23CF6E8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677CED12" w14:textId="17FB0BC8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.2.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3E9FAE98" w14:textId="2E3B55B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0EF9DC02" w14:textId="5EAD6F64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2279E396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391CC770" w14:textId="0442542D" w:rsidR="00F62553" w:rsidRPr="007C350D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.1.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не менее </w:t>
      </w:r>
      <w:r>
        <w:rPr>
          <w:rFonts w:ascii="Times New Roman" w:eastAsiaTheme="minorHAnsi" w:hAnsi="Times New Roman" w:cs="Times New Roman"/>
          <w:color w:val="auto"/>
          <w:lang w:eastAsia="en-US"/>
        </w:rPr>
        <w:t>3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201BD447" w14:textId="3FB882BB" w:rsidR="00F62553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="00F62553"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>по профилю ВЭД: многопрофильная.</w:t>
      </w:r>
    </w:p>
    <w:p w14:paraId="66AB714C" w14:textId="4862CDB0" w:rsidR="00F62553" w:rsidRPr="00CC54F7" w:rsidRDefault="002E143E" w:rsidP="00F6255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7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. Требования к объему и качеству оказываемых услуг Исполнителем: </w:t>
      </w:r>
    </w:p>
    <w:p w14:paraId="5A2651B7" w14:textId="77777777" w:rsidR="00F62553" w:rsidRPr="001D6247" w:rsidRDefault="00F62553" w:rsidP="00F6255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b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0"/>
        <w:gridCol w:w="8108"/>
      </w:tblGrid>
      <w:tr w:rsidR="00DA1E42" w:rsidRPr="00D24684" w14:paraId="745CF673" w14:textId="77777777" w:rsidTr="00DA1E42">
        <w:tc>
          <w:tcPr>
            <w:tcW w:w="634" w:type="dxa"/>
          </w:tcPr>
          <w:p w14:paraId="0B19C2E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12" w:name="_Hlk71710761"/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1890" w:type="dxa"/>
          </w:tcPr>
          <w:p w14:paraId="7657078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108" w:type="dxa"/>
          </w:tcPr>
          <w:p w14:paraId="03C9EB8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DA1E42" w:rsidRPr="00D24684" w14:paraId="4A614AB0" w14:textId="77777777" w:rsidTr="002E143E">
        <w:trPr>
          <w:trHeight w:val="910"/>
        </w:trPr>
        <w:tc>
          <w:tcPr>
            <w:tcW w:w="634" w:type="dxa"/>
          </w:tcPr>
          <w:p w14:paraId="2D678F44" w14:textId="50EF27C1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</w:t>
            </w:r>
          </w:p>
        </w:tc>
        <w:tc>
          <w:tcPr>
            <w:tcW w:w="1890" w:type="dxa"/>
          </w:tcPr>
          <w:p w14:paraId="78EFF659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8108" w:type="dxa"/>
          </w:tcPr>
          <w:p w14:paraId="28CA9B9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71EA7397" w14:textId="7C7370E4" w:rsidR="00F62553" w:rsidRPr="00D24684" w:rsidRDefault="00F62553" w:rsidP="002E143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Изучить коммерческое предложение российского участника. </w:t>
            </w:r>
          </w:p>
        </w:tc>
      </w:tr>
      <w:tr w:rsidR="00DA1E42" w:rsidRPr="00D24684" w14:paraId="7530B2EF" w14:textId="77777777" w:rsidTr="00DA1E42">
        <w:tc>
          <w:tcPr>
            <w:tcW w:w="634" w:type="dxa"/>
          </w:tcPr>
          <w:p w14:paraId="117B0BE5" w14:textId="20B92D30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.2</w:t>
            </w:r>
          </w:p>
        </w:tc>
        <w:tc>
          <w:tcPr>
            <w:tcW w:w="1890" w:type="dxa"/>
          </w:tcPr>
          <w:p w14:paraId="38840E6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108" w:type="dxa"/>
          </w:tcPr>
          <w:p w14:paraId="3D28964D" w14:textId="720E8F1E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Сформировать или актуализировать презентационные материалы (не менее 10 листов) и коммерческое предложение в электронном виде для российских участников БМ 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на 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русском и узбекском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язык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ах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591AD380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DA1E42" w:rsidRPr="00D24684" w14:paraId="41DFFB25" w14:textId="77777777" w:rsidTr="00DA1E42">
        <w:tc>
          <w:tcPr>
            <w:tcW w:w="634" w:type="dxa"/>
          </w:tcPr>
          <w:p w14:paraId="684D6811" w14:textId="0316F18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</w:t>
            </w:r>
          </w:p>
        </w:tc>
        <w:tc>
          <w:tcPr>
            <w:tcW w:w="1890" w:type="dxa"/>
          </w:tcPr>
          <w:p w14:paraId="7C9E4E1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8108" w:type="dxa"/>
          </w:tcPr>
          <w:p w14:paraId="602669C6" w14:textId="6B06BE42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CB4AB5E" w14:textId="22DAE500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.3.2. Достичь договоренности о проведении встреч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не менее чем с </w:t>
            </w:r>
            <w:r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10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для каждого российского участника БМ в целевой стране. </w:t>
            </w:r>
          </w:p>
          <w:p w14:paraId="15F061AE" w14:textId="1D108AA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.3.3. Согласовать время проведения встречи между участниками БМ. </w:t>
            </w:r>
          </w:p>
        </w:tc>
      </w:tr>
      <w:tr w:rsidR="00DA1E42" w:rsidRPr="00D24684" w14:paraId="1231B54D" w14:textId="77777777" w:rsidTr="00DA1E42">
        <w:tc>
          <w:tcPr>
            <w:tcW w:w="634" w:type="dxa"/>
          </w:tcPr>
          <w:p w14:paraId="48B2975A" w14:textId="1415493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</w:t>
            </w:r>
          </w:p>
        </w:tc>
        <w:tc>
          <w:tcPr>
            <w:tcW w:w="1890" w:type="dxa"/>
          </w:tcPr>
          <w:p w14:paraId="06653A8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8108" w:type="dxa"/>
          </w:tcPr>
          <w:p w14:paraId="748316EB" w14:textId="0933EED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6413395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Минимальная деловая программа должна включать в себя:</w:t>
            </w:r>
          </w:p>
          <w:p w14:paraId="508AD3AF" w14:textId="4E735AEA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представителями бизнес-сообщества Республики Узбекистан, Торговым представительством РФ в Республике Узбекистан (по согласованию)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8E7B2B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6BBF337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21279170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06034ABC" w14:textId="006081FE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56C7FE" w14:textId="4D0514A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.4.3. Итоговая деловая программа должна быть согласована с Заказчиком.</w:t>
            </w:r>
          </w:p>
          <w:p w14:paraId="67432FDE" w14:textId="39D1C0B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.4.4. Провести рассылку деловой программы участникам БМ.</w:t>
            </w:r>
          </w:p>
          <w:p w14:paraId="17903443" w14:textId="208C634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DA1E42" w:rsidRPr="00D24684" w14:paraId="5405F2B4" w14:textId="77777777" w:rsidTr="00DA1E42">
        <w:tc>
          <w:tcPr>
            <w:tcW w:w="634" w:type="dxa"/>
          </w:tcPr>
          <w:p w14:paraId="1804FEFA" w14:textId="5A75C7AF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</w:t>
            </w:r>
          </w:p>
        </w:tc>
        <w:tc>
          <w:tcPr>
            <w:tcW w:w="1890" w:type="dxa"/>
          </w:tcPr>
          <w:p w14:paraId="12B6728C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108" w:type="dxa"/>
          </w:tcPr>
          <w:p w14:paraId="7C552166" w14:textId="3D22450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.5.1. Организовать план перевозки (трансфер) участников БМ автомобильным транспортом (кроме такси):</w:t>
            </w:r>
          </w:p>
          <w:p w14:paraId="68EF3D4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3D0E333E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64D0ADA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34A3FC7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12189482" w14:textId="463986E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DA1E42" w:rsidRPr="00D24684" w14:paraId="76316998" w14:textId="77777777" w:rsidTr="00DA1E42">
        <w:tc>
          <w:tcPr>
            <w:tcW w:w="634" w:type="dxa"/>
          </w:tcPr>
          <w:p w14:paraId="033CB511" w14:textId="7880EFE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</w:t>
            </w:r>
          </w:p>
        </w:tc>
        <w:tc>
          <w:tcPr>
            <w:tcW w:w="1890" w:type="dxa"/>
          </w:tcPr>
          <w:p w14:paraId="4AFB003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108" w:type="dxa"/>
          </w:tcPr>
          <w:p w14:paraId="1A43991F" w14:textId="0FAD847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.6.1. Арендовать помещение и оборудование для переговоров.</w:t>
            </w:r>
          </w:p>
          <w:p w14:paraId="2E55F6A8" w14:textId="7C32BCA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.6.2. Помещение должно быть обеспечено следующим минимальным инвентарем:</w:t>
            </w:r>
          </w:p>
          <w:p w14:paraId="32E44DF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7B8EF84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6D6D06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6A068DFB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1881D2B8" w14:textId="432EA810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.6.3. Минимальная вместимость помещения: в помещении должно комфортно размещаться до 100 человек.</w:t>
            </w:r>
          </w:p>
          <w:p w14:paraId="366FB2F6" w14:textId="680D4ED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Обеспечить всех участников БМ бейджами на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русском языке.</w:t>
            </w:r>
          </w:p>
        </w:tc>
      </w:tr>
      <w:tr w:rsidR="00DA1E42" w:rsidRPr="00D24684" w14:paraId="4824AEF4" w14:textId="77777777" w:rsidTr="002E143E">
        <w:trPr>
          <w:trHeight w:val="1872"/>
        </w:trPr>
        <w:tc>
          <w:tcPr>
            <w:tcW w:w="634" w:type="dxa"/>
          </w:tcPr>
          <w:p w14:paraId="60ACF171" w14:textId="13F9426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</w:t>
            </w:r>
          </w:p>
        </w:tc>
        <w:tc>
          <w:tcPr>
            <w:tcW w:w="1890" w:type="dxa"/>
          </w:tcPr>
          <w:p w14:paraId="65B7546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8108" w:type="dxa"/>
          </w:tcPr>
          <w:p w14:paraId="452D6016" w14:textId="7757579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.7.1. Организовать явку и регистрацию участников БМ на переговорах согласно деловой программе БМ;</w:t>
            </w:r>
          </w:p>
          <w:p w14:paraId="78CC0B13" w14:textId="700450B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.7.2. Обеспечение проведения Круглого стола с участниками БМ.</w:t>
            </w:r>
          </w:p>
          <w:p w14:paraId="46D1C4FF" w14:textId="4682CEAC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.7.3. Обеспечение проведения индивидуальных встреч (B2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787F5675" w14:textId="558595F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БМ.</w:t>
            </w:r>
          </w:p>
        </w:tc>
      </w:tr>
      <w:tr w:rsidR="00DA1E42" w:rsidRPr="00D24684" w14:paraId="13FBABF8" w14:textId="77777777" w:rsidTr="00D24684">
        <w:trPr>
          <w:trHeight w:val="708"/>
        </w:trPr>
        <w:tc>
          <w:tcPr>
            <w:tcW w:w="634" w:type="dxa"/>
          </w:tcPr>
          <w:p w14:paraId="4258A892" w14:textId="5571F26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.8</w:t>
            </w:r>
          </w:p>
        </w:tc>
        <w:tc>
          <w:tcPr>
            <w:tcW w:w="1890" w:type="dxa"/>
          </w:tcPr>
          <w:p w14:paraId="5E47D263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8108" w:type="dxa"/>
          </w:tcPr>
          <w:p w14:paraId="4CDB4BE7" w14:textId="5F54F2E8" w:rsidR="00F62553" w:rsidRPr="00D24684" w:rsidRDefault="002E143E" w:rsidP="00D24684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.8.1. Обеспечить каждому российскому участнику БМ индивидуального переводчика 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узбекского языка на русский язык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все время проведения БМ в соответствие с индивидуальными деловыми программами российских участников БМ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DA1E42" w:rsidRPr="00D24684" w14:paraId="73036AF2" w14:textId="77777777" w:rsidTr="00DA1E42">
        <w:tc>
          <w:tcPr>
            <w:tcW w:w="634" w:type="dxa"/>
          </w:tcPr>
          <w:p w14:paraId="390114C6" w14:textId="56A568B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.9</w:t>
            </w:r>
          </w:p>
        </w:tc>
        <w:tc>
          <w:tcPr>
            <w:tcW w:w="1890" w:type="dxa"/>
          </w:tcPr>
          <w:p w14:paraId="7986B4E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8108" w:type="dxa"/>
          </w:tcPr>
          <w:p w14:paraId="3FD84031" w14:textId="3600B532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>.9.1.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6236BF1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77F0FC13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DA1E42" w:rsidRPr="00D24684" w14:paraId="03AE7E36" w14:textId="77777777" w:rsidTr="00D24684">
        <w:trPr>
          <w:trHeight w:val="2046"/>
        </w:trPr>
        <w:tc>
          <w:tcPr>
            <w:tcW w:w="634" w:type="dxa"/>
          </w:tcPr>
          <w:p w14:paraId="652AC477" w14:textId="6D4891B0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1890" w:type="dxa"/>
          </w:tcPr>
          <w:p w14:paraId="34C0017E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450606B4" w14:textId="5FD23965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 Обеспечить регистрацию участников в Личном кабинете АО «РЭЦ» на сайте </w:t>
            </w:r>
            <w:hyperlink r:id="rId9" w:history="1">
              <w:r w:rsidR="00F62553" w:rsidRPr="00D24684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 Портале «Мой экспорт» на сайте </w:t>
            </w:r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133C0F9E" w14:textId="1386D831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.10.1.1. Обеспечить получение любого продукта АО «РЭЦ» посредством указанных сайтов. </w:t>
            </w:r>
          </w:p>
          <w:p w14:paraId="022FED47" w14:textId="77DA0F9F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 xml:space="preserve">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DA1E42" w:rsidRPr="00D24684" w14:paraId="20D23913" w14:textId="77777777" w:rsidTr="00D24684">
        <w:trPr>
          <w:trHeight w:val="2167"/>
        </w:trPr>
        <w:tc>
          <w:tcPr>
            <w:tcW w:w="634" w:type="dxa"/>
          </w:tcPr>
          <w:p w14:paraId="582C80AF" w14:textId="5269474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890" w:type="dxa"/>
          </w:tcPr>
          <w:p w14:paraId="3E51AAB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108" w:type="dxa"/>
          </w:tcPr>
          <w:p w14:paraId="5E0EB6F2" w14:textId="027B83C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58D4FE8" w14:textId="0E8BB474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93F69FF" w14:textId="485CCD37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.11.3. Отчет предоставляется Заказчику в электронном виде (формат .</w:t>
            </w:r>
            <w:proofErr w:type="spellStart"/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pdf</w:t>
            </w:r>
            <w:proofErr w:type="spellEnd"/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DA1E42" w:rsidRPr="00D24684" w14:paraId="0115A1DE" w14:textId="77777777" w:rsidTr="00D24684">
        <w:trPr>
          <w:trHeight w:val="4245"/>
        </w:trPr>
        <w:tc>
          <w:tcPr>
            <w:tcW w:w="634" w:type="dxa"/>
          </w:tcPr>
          <w:p w14:paraId="3BE454C9" w14:textId="5C27A66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890" w:type="dxa"/>
          </w:tcPr>
          <w:p w14:paraId="4195766A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108" w:type="dxa"/>
          </w:tcPr>
          <w:p w14:paraId="1DECA0B8" w14:textId="4E8A6E5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.12.1. Исполнителю необходимо предоставить отчетные документы о мероприятии, включающие:</w:t>
            </w:r>
          </w:p>
          <w:p w14:paraId="19DE6F04" w14:textId="1D11962A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Письменный отчет о проведенном мероприятии в соответствии с требованиями п.</w:t>
            </w:r>
            <w:r w:rsidR="00D24684"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.11 ТЗ; </w:t>
            </w:r>
          </w:p>
          <w:p w14:paraId="05559A77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40136893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D24684">
                <w:rPr>
                  <w:rFonts w:ascii="Times New Roman" w:eastAsiaTheme="minorHAnsi" w:hAnsi="Times New Roman" w:cs="Times New Roman"/>
                  <w:sz w:val="22"/>
                  <w:szCs w:val="22"/>
                  <w:lang w:eastAsia="en-US"/>
                </w:rPr>
                <w:t>https://www.exportcenter.ru/</w:t>
              </w:r>
            </w:hyperlink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и Портале «Мой экспорт» на сайте https://myexport.exportcenter.ru. </w:t>
            </w:r>
          </w:p>
          <w:p w14:paraId="439FA2B9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Итоговая деловая программа участников БМ;</w:t>
            </w:r>
          </w:p>
          <w:p w14:paraId="5E326C72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План перевозки (трансфера) участников БМ;</w:t>
            </w:r>
          </w:p>
          <w:p w14:paraId="4F773811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- Заключенные внешнеторговые контракты </w:t>
            </w:r>
            <w:r w:rsidRPr="00D2468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2BAEB82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68DC3B3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63D86E8A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DA1E42" w:rsidRPr="00D24684" w14:paraId="58889F74" w14:textId="77777777" w:rsidTr="00D24684">
        <w:trPr>
          <w:trHeight w:val="2960"/>
        </w:trPr>
        <w:tc>
          <w:tcPr>
            <w:tcW w:w="634" w:type="dxa"/>
          </w:tcPr>
          <w:p w14:paraId="35EF6D2F" w14:textId="7DE52C3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</w:t>
            </w:r>
          </w:p>
        </w:tc>
        <w:tc>
          <w:tcPr>
            <w:tcW w:w="1890" w:type="dxa"/>
          </w:tcPr>
          <w:p w14:paraId="3D3C6C0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5208560D" w14:textId="7EC899FB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20528921" w14:textId="77777777" w:rsidR="00D24684" w:rsidRPr="00D24684" w:rsidRDefault="00D24684" w:rsidP="00D24684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hAnsi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5E6EE9FB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</w:p>
          <w:p w14:paraId="60131E92" w14:textId="498A0593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12"/>
    <w:p w14:paraId="0C5A0BDF" w14:textId="6F99F9E2" w:rsidR="00F62553" w:rsidRDefault="00D24684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8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  <w:r w:rsidR="00F62553"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35513425" w14:textId="77777777" w:rsidR="00F62553" w:rsidRPr="00B3357F" w:rsidRDefault="00F62553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1"/>
    <w:p w14:paraId="074A3175" w14:textId="77777777" w:rsidR="00F62553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445809F4" w14:textId="77777777" w:rsidR="00F62553" w:rsidRPr="001D6247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DA1E42" w:rsidRPr="00434CF1" w14:paraId="5753F918" w14:textId="77777777" w:rsidTr="002E59FA">
        <w:trPr>
          <w:trHeight w:val="1700"/>
        </w:trPr>
        <w:tc>
          <w:tcPr>
            <w:tcW w:w="5070" w:type="dxa"/>
          </w:tcPr>
          <w:p w14:paraId="239F6B97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35EF5294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3FD6A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119905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2CC2454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33E76937" w14:textId="77777777" w:rsidR="00DA1E42" w:rsidRPr="00434CF1" w:rsidRDefault="00DA1E42" w:rsidP="002E59FA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4FBC28F6" w14:textId="77777777" w:rsidR="00DA1E42" w:rsidRPr="00434CF1" w:rsidRDefault="00DA1E42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007C583D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51BABB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7575F9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23E3056D" w14:textId="47733E44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67E5B8BE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148B98AB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A6C9B08" w14:textId="6426B66F" w:rsidR="00F62553" w:rsidRDefault="00F62553" w:rsidP="00F6255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918CCBC" w14:textId="77777777" w:rsidR="00D24684" w:rsidRDefault="00D2468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84639D" w14:textId="039EAB28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48EE527B" w14:textId="77777777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79DF075B" w14:textId="77777777" w:rsidR="00F62553" w:rsidRPr="001D6247" w:rsidRDefault="00F62553" w:rsidP="00F62553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5"/>
        <w:gridCol w:w="2342"/>
        <w:gridCol w:w="2046"/>
        <w:gridCol w:w="1908"/>
        <w:gridCol w:w="1764"/>
        <w:gridCol w:w="1764"/>
      </w:tblGrid>
      <w:tr w:rsidR="00F62553" w:rsidRPr="001D6247" w14:paraId="0B27D16A" w14:textId="77777777" w:rsidTr="002E59FA">
        <w:trPr>
          <w:trHeight w:val="1407"/>
        </w:trPr>
        <w:tc>
          <w:tcPr>
            <w:tcW w:w="222" w:type="pct"/>
          </w:tcPr>
          <w:p w14:paraId="7C2A239E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77A5647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1F0B79F4" w14:textId="77777777" w:rsidR="00F62553" w:rsidRPr="001D6247" w:rsidRDefault="00F62553" w:rsidP="002E59FA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165247F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6D9F2BF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0E6671C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F62553" w:rsidRPr="001D6247" w14:paraId="77712DF4" w14:textId="77777777" w:rsidTr="002E59FA">
        <w:trPr>
          <w:trHeight w:val="298"/>
        </w:trPr>
        <w:tc>
          <w:tcPr>
            <w:tcW w:w="222" w:type="pct"/>
          </w:tcPr>
          <w:p w14:paraId="1199752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472F0725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7231EAF5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000FB50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759FFF3D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160FCE7C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2E402E8F" w14:textId="77777777" w:rsidTr="002E59FA">
        <w:trPr>
          <w:trHeight w:val="298"/>
        </w:trPr>
        <w:tc>
          <w:tcPr>
            <w:tcW w:w="222" w:type="pct"/>
          </w:tcPr>
          <w:p w14:paraId="4BFCF1B6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41D1A79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23160DF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2023721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0ADD75CA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6CFC832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518E65A2" w14:textId="77777777" w:rsidTr="002E59FA">
        <w:trPr>
          <w:trHeight w:val="317"/>
        </w:trPr>
        <w:tc>
          <w:tcPr>
            <w:tcW w:w="222" w:type="pct"/>
          </w:tcPr>
          <w:p w14:paraId="6F46F13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0FA015C9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0B7074FF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4451E38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1AA5446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513DF93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5EDDC999" w14:textId="77777777" w:rsidR="00F62553" w:rsidRDefault="00F62553" w:rsidP="00F62553"/>
    <w:p w14:paraId="39ADDA5B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7689C85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5EC2A5B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2A24F9B2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F62553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3092C32C"/>
    <w:lvl w:ilvl="0" w:tplc="E5B28F6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75D4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43E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4684"/>
    <w:rsid w:val="00D269B0"/>
    <w:rsid w:val="00D301C2"/>
    <w:rsid w:val="00D350AF"/>
    <w:rsid w:val="00D457A1"/>
    <w:rsid w:val="00D52727"/>
    <w:rsid w:val="00D646CD"/>
    <w:rsid w:val="00D914C8"/>
    <w:rsid w:val="00D9267F"/>
    <w:rsid w:val="00DA1E42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553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6411</TotalTime>
  <Pages>9</Pages>
  <Words>3542</Words>
  <Characters>20193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170</cp:revision>
  <cp:lastPrinted>2023-06-05T03:11:00Z</cp:lastPrinted>
  <dcterms:created xsi:type="dcterms:W3CDTF">2019-03-20T03:20:00Z</dcterms:created>
  <dcterms:modified xsi:type="dcterms:W3CDTF">2023-06-05T03:12:00Z</dcterms:modified>
</cp:coreProperties>
</file>