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30C" w:rsidRDefault="008705C4">
      <w:pPr>
        <w:pStyle w:val="ConsPlusTitle"/>
        <w:numPr>
          <w:ilvl w:val="0"/>
          <w:numId w:val="0"/>
        </w:numPr>
        <w:spacing w:line="276" w:lineRule="auto"/>
        <w:jc w:val="center"/>
        <w:rPr>
          <w:b/>
        </w:rPr>
      </w:pPr>
      <w:r>
        <w:rPr>
          <w:b/>
        </w:rPr>
        <w:t>Пояснительная записка</w:t>
      </w:r>
    </w:p>
    <w:p w:rsidR="0058330C" w:rsidRDefault="008705C4">
      <w:pPr>
        <w:spacing w:line="276" w:lineRule="auto"/>
        <w:jc w:val="center"/>
        <w:rPr>
          <w:b/>
        </w:rPr>
      </w:pPr>
      <w:r>
        <w:rPr>
          <w:b/>
          <w:szCs w:val="28"/>
        </w:rPr>
        <w:t xml:space="preserve">к проекту постановления Правительства Республики Бурятия  </w:t>
      </w:r>
      <w:r>
        <w:rPr>
          <w:b/>
          <w:szCs w:val="28"/>
        </w:rPr>
        <w:br/>
        <w:t>«О внесении изменений в постановление Правительства Республики Бурятия от 06.12.2021 № 702 «</w:t>
      </w:r>
      <w:r>
        <w:rPr>
          <w:b/>
          <w:color w:val="000000"/>
        </w:rPr>
        <w:t>Об утверждении Положения о региональном государственном контроле (надзоре)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наследия, осуществляемом на территории Республики Бурятия, и о признании утратившими силу некоторых нормативных правовых актов Правительства Республики Бурятия</w:t>
      </w:r>
      <w:r>
        <w:rPr>
          <w:b/>
          <w:szCs w:val="28"/>
        </w:rPr>
        <w:t>»</w:t>
      </w:r>
    </w:p>
    <w:p w:rsidR="0058330C" w:rsidRDefault="0058330C">
      <w:pPr>
        <w:pStyle w:val="ConsPlusNormal"/>
        <w:spacing w:line="276" w:lineRule="auto"/>
        <w:ind w:left="540"/>
        <w:jc w:val="center"/>
        <w:rPr>
          <w:b/>
        </w:rPr>
      </w:pPr>
    </w:p>
    <w:p w:rsidR="0058330C" w:rsidRDefault="0058330C">
      <w:pPr>
        <w:pStyle w:val="ConsPlusTitle"/>
        <w:numPr>
          <w:ilvl w:val="0"/>
          <w:numId w:val="0"/>
        </w:numPr>
        <w:jc w:val="center"/>
      </w:pPr>
    </w:p>
    <w:p w:rsidR="0058330C" w:rsidRDefault="008705C4">
      <w:pPr>
        <w:ind w:firstLine="708"/>
        <w:jc w:val="both"/>
        <w:rPr>
          <w:color w:val="000000"/>
          <w:szCs w:val="28"/>
        </w:rPr>
      </w:pPr>
      <w:r>
        <w:t>Проектом постановления Правительства Республики Бурятия «</w:t>
      </w:r>
      <w:r>
        <w:rPr>
          <w:szCs w:val="28"/>
        </w:rPr>
        <w:t>О внесении изменений в постановление Правительства Республики Бурятия от 06.12.2021 № 702 «Об утверждении Положения о региональном государственном контроле (надзоре)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наследия, осуществляемом на территории Республики Бурятия, и о признании утратившими силу некоторых нормативных правовых актов Правительства Республики Бурятия» Положение дополняется Перечнем индикаторов риска нарушения обязательных требований при осуществлении р</w:t>
      </w:r>
      <w:r>
        <w:rPr>
          <w:color w:val="000000"/>
        </w:rPr>
        <w:t>егионального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наследия, осуществляемом на территории Республики Бурятия.</w:t>
      </w:r>
    </w:p>
    <w:p w:rsidR="0058330C" w:rsidRDefault="008705C4">
      <w:pPr>
        <w:spacing w:line="288" w:lineRule="atLeast"/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</w:rPr>
        <w:t>Согласно пункту 10 статьи 23 Федерального закона от 31.07.2020 № 248-ФЗ «О государственном контроле (надзоре) и муниципальном контроле в Российской Федерации» перечень индикаторов риска нарушения обязательных требований по видам контроля утверждается для вида регионального контроля - высшим исполнительным органом государственной власти субъекта Российской Федерации.</w:t>
      </w:r>
    </w:p>
    <w:p w:rsidR="0058330C" w:rsidRDefault="008705C4">
      <w:pPr>
        <w:spacing w:line="288" w:lineRule="atLeast"/>
        <w:ind w:firstLine="708"/>
        <w:jc w:val="both"/>
        <w:rPr>
          <w:color w:val="000000"/>
          <w:spacing w:val="2"/>
          <w:szCs w:val="28"/>
        </w:rPr>
      </w:pPr>
      <w:r>
        <w:rPr>
          <w:color w:val="000000" w:themeColor="text1"/>
        </w:rPr>
        <w:t xml:space="preserve">Согласно </w:t>
      </w:r>
      <w:r>
        <w:rPr>
          <w:color w:val="000000"/>
          <w:spacing w:val="2"/>
          <w:highlight w:val="white"/>
        </w:rPr>
        <w:t>письму Минэкономразвития России от 02.05.2023 г. № Д24и-13905 «О направлении позиции  на письмо от 3 марта 2023 г.  № 6383-12.4-02@»</w:t>
      </w:r>
      <w:r>
        <w:rPr>
          <w:color w:val="000000"/>
          <w:spacing w:val="2"/>
        </w:rPr>
        <w:t xml:space="preserve"> взаимосвязанные положения статей 23-25 Федерального закона № 248-ФЗ обусловливают  необходимость разработки критериев риска и отнесение объектов контроля на их основе к категориям риска в случае, если по виду </w:t>
      </w:r>
      <w:r>
        <w:rPr>
          <w:color w:val="000000"/>
          <w:spacing w:val="2"/>
        </w:rPr>
        <w:lastRenderedPageBreak/>
        <w:t>контроля предусмотрено  проведение плановых контрольных (надзорных) мероприятий.</w:t>
      </w:r>
    </w:p>
    <w:p w:rsidR="0058330C" w:rsidRDefault="008705C4">
      <w:pPr>
        <w:spacing w:line="288" w:lineRule="atLeast"/>
        <w:ind w:firstLine="708"/>
        <w:jc w:val="both"/>
        <w:rPr>
          <w:color w:val="000000"/>
          <w:spacing w:val="2"/>
          <w:szCs w:val="28"/>
        </w:rPr>
      </w:pPr>
      <w:r>
        <w:rPr>
          <w:color w:val="000000"/>
          <w:spacing w:val="2"/>
        </w:rPr>
        <w:t>В соответствии с положениями статьи 11 Федерального закона от 25.06.2002 № 73-ФЗ «Об объектах культурного наследия (памятниках истории и культуры) народов Российской Федерации» при осуществлении государственного контроля (надзора) в области охраны объектов культурного наследия плановые контрольные (надзорные) мероприятия не проводятся.</w:t>
      </w:r>
    </w:p>
    <w:p w:rsidR="0058330C" w:rsidRDefault="008705C4">
      <w:pPr>
        <w:spacing w:line="288" w:lineRule="atLeast"/>
        <w:ind w:firstLine="708"/>
        <w:jc w:val="both"/>
        <w:rPr>
          <w:color w:val="000000"/>
          <w:spacing w:val="2"/>
          <w:szCs w:val="28"/>
        </w:rPr>
      </w:pPr>
      <w:r>
        <w:rPr>
          <w:color w:val="000000"/>
          <w:spacing w:val="2"/>
        </w:rPr>
        <w:t>Таким образом, при осуществлении государственного контроля (надзора) в сфере государственной охраны объектов культурного наследия риск-ориентированный подход не применяется.</w:t>
      </w:r>
    </w:p>
    <w:p w:rsidR="0058330C" w:rsidRDefault="008705C4">
      <w:pPr>
        <w:spacing w:line="288" w:lineRule="atLeast"/>
        <w:ind w:firstLine="708"/>
        <w:jc w:val="both"/>
        <w:rPr>
          <w:szCs w:val="28"/>
        </w:rPr>
      </w:pPr>
      <w:r>
        <w:rPr>
          <w:color w:val="000000"/>
          <w:spacing w:val="2"/>
        </w:rPr>
        <w:t xml:space="preserve">При этом, согласно разделу </w:t>
      </w:r>
      <w:r>
        <w:rPr>
          <w:color w:val="000000"/>
          <w:spacing w:val="2"/>
          <w:lang w:val="en-US"/>
        </w:rPr>
        <w:t>VII</w:t>
      </w:r>
      <w:r>
        <w:rPr>
          <w:color w:val="000000"/>
          <w:spacing w:val="2"/>
        </w:rPr>
        <w:t xml:space="preserve"> Протокола совещания Минэкономразвития РФ от 29.02.2024 г. № 7-Д24 </w:t>
      </w:r>
      <w:r>
        <w:t xml:space="preserve">индикаторы риска должны быть заполнены во всех карточках видов контроля Единого реестра видов контроля вне зависимости от применения риск-ориентированного подхода в плановых контрольных (надзорных) мероприятиях. </w:t>
      </w:r>
    </w:p>
    <w:p w:rsidR="0058330C" w:rsidRDefault="008705C4">
      <w:pPr>
        <w:spacing w:line="288" w:lineRule="atLeast"/>
        <w:ind w:firstLine="708"/>
        <w:jc w:val="both"/>
        <w:rPr>
          <w:color w:val="000000"/>
          <w:spacing w:val="2"/>
          <w:szCs w:val="28"/>
        </w:rPr>
      </w:pPr>
      <w:r>
        <w:rPr>
          <w:color w:val="000000"/>
          <w:spacing w:val="2"/>
        </w:rPr>
        <w:t>Таким образом, в целях внесения в ЕРВК индикаторов риска необходимо их утверждение на уровне Правительства Республики Бурятия.</w:t>
      </w:r>
    </w:p>
    <w:p w:rsidR="0058330C" w:rsidRDefault="008705C4">
      <w:pPr>
        <w:spacing w:line="288" w:lineRule="atLeast"/>
        <w:ind w:firstLine="708"/>
        <w:jc w:val="both"/>
        <w:rPr>
          <w:color w:val="000000"/>
          <w:szCs w:val="28"/>
        </w:rPr>
      </w:pPr>
      <w:r>
        <w:rPr>
          <w:color w:val="000000"/>
          <w:spacing w:val="2"/>
        </w:rPr>
        <w:t xml:space="preserve">Помимо этого, проектом Положение дополняется пунктом 4.7, согласно которому </w:t>
      </w:r>
      <w:r>
        <w:rPr>
          <w:color w:val="000000"/>
        </w:rPr>
        <w:t>программа проверок, сформированная на основании выданного органом охраны объектов культурного наследия разрешения</w:t>
      </w:r>
      <w:r w:rsidRPr="00B354B6">
        <w:rPr>
          <w:color w:val="000000"/>
        </w:rPr>
        <w:t xml:space="preserve"> </w:t>
      </w:r>
      <w:r>
        <w:rPr>
          <w:color w:val="000000"/>
        </w:rPr>
        <w:t>на проведение научно-исследовательских и изыскательских работ, должна предусматривать обязательное проведение не менее одного контрольного (надзорного) мероприятия, при наступлении определенных оснований.</w:t>
      </w:r>
    </w:p>
    <w:p w:rsidR="0058330C" w:rsidRDefault="008705C4">
      <w:pPr>
        <w:spacing w:line="288" w:lineRule="atLeast"/>
        <w:ind w:firstLine="708"/>
        <w:jc w:val="both"/>
      </w:pPr>
      <w:r>
        <w:rPr>
          <w:color w:val="000000"/>
        </w:rPr>
        <w:t>Согласно ч. 1 статьи 57 Федерального закона № 248-ФЗ основанием для проведения контрольных (надзорных) мероприятий</w:t>
      </w:r>
      <w:r>
        <w:rPr>
          <w:color w:val="000000"/>
        </w:rPr>
        <w:br/>
        <w:t>может быть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</w:t>
      </w:r>
    </w:p>
    <w:p w:rsidR="0058330C" w:rsidRDefault="008705C4">
      <w:pPr>
        <w:spacing w:line="288" w:lineRule="atLeast"/>
        <w:ind w:firstLine="708"/>
        <w:jc w:val="both"/>
        <w:rPr>
          <w:color w:val="000000"/>
          <w:szCs w:val="28"/>
        </w:rPr>
      </w:pPr>
      <w:r>
        <w:rPr>
          <w:color w:val="000000"/>
        </w:rPr>
        <w:t>Указанное изменение, в соответствии с ч. 1 ст. 57 Федерального закона № 248-ФЗ, определяет основания для проведения контрольных (надзорных) мероприятий в рамках программы проверок при выдаче разрешения</w:t>
      </w:r>
      <w:r w:rsidRPr="00B354B6">
        <w:rPr>
          <w:color w:val="000000"/>
        </w:rPr>
        <w:t xml:space="preserve"> </w:t>
      </w:r>
      <w:r>
        <w:rPr>
          <w:color w:val="000000"/>
        </w:rPr>
        <w:t xml:space="preserve">на проведение научно-исследовательских и изыскательских работ, т.е. работ по изготовлению проектной документации, что позволит исключить необходимость проведения таких мероприятий при отсутствии вводимых проектом оснований и проведения работ по сохранению непосредственно на объекте культурного наследия, что дополнительно приведет к снижению административного давления на контролируемых лиц. </w:t>
      </w:r>
    </w:p>
    <w:p w:rsidR="0058330C" w:rsidRDefault="008705C4">
      <w:pPr>
        <w:pStyle w:val="ConsPlusTitle"/>
        <w:numPr>
          <w:ilvl w:val="0"/>
          <w:numId w:val="0"/>
        </w:numPr>
        <w:tabs>
          <w:tab w:val="clear" w:pos="1276"/>
        </w:tabs>
        <w:ind w:firstLine="708"/>
      </w:pPr>
      <w:r>
        <w:t>Принятие данного проекта постановления не потребует дополнительных расходов из средств республиканского бюджета.</w:t>
      </w:r>
    </w:p>
    <w:p w:rsidR="0058330C" w:rsidRDefault="008705C4">
      <w:pPr>
        <w:spacing w:line="276" w:lineRule="auto"/>
        <w:ind w:firstLine="708"/>
        <w:jc w:val="both"/>
        <w:rPr>
          <w:rFonts w:eastAsia="Calibri"/>
        </w:rPr>
      </w:pPr>
      <w:r>
        <w:t>По результатам экспертизы коррупциогенные факторы в проекте постановления Правительства Республики Бурятия не выявлены.</w:t>
      </w:r>
    </w:p>
    <w:p w:rsidR="0058330C" w:rsidRDefault="008705C4">
      <w:pPr>
        <w:spacing w:line="276" w:lineRule="auto"/>
        <w:ind w:firstLine="708"/>
        <w:jc w:val="both"/>
        <w:rPr>
          <w:bCs/>
          <w:szCs w:val="28"/>
        </w:rPr>
      </w:pPr>
      <w:r>
        <w:rPr>
          <w:szCs w:val="28"/>
        </w:rPr>
        <w:t xml:space="preserve">В соответствии с Порядком проведения антикоррупционной экспертизы нормативных правовых актов, проектов нормативных правовых актов, </w:t>
      </w:r>
      <w:r>
        <w:rPr>
          <w:szCs w:val="28"/>
        </w:rPr>
        <w:lastRenderedPageBreak/>
        <w:t xml:space="preserve">утвержденных постановлением Правительства Республики Бурятия от 28.10.2009 № 398, </w:t>
      </w:r>
      <w:r>
        <w:rPr>
          <w:bCs/>
          <w:szCs w:val="28"/>
        </w:rPr>
        <w:t xml:space="preserve">проект </w:t>
      </w:r>
      <w:r>
        <w:rPr>
          <w:szCs w:val="28"/>
        </w:rPr>
        <w:t>постановления Правительства Республики Бурятия</w:t>
      </w:r>
      <w:r>
        <w:rPr>
          <w:bCs/>
          <w:szCs w:val="28"/>
        </w:rPr>
        <w:t xml:space="preserve"> размещен на интернет – сайте с </w:t>
      </w:r>
      <w:r w:rsidR="00B354B6">
        <w:rPr>
          <w:bCs/>
          <w:szCs w:val="28"/>
        </w:rPr>
        <w:t>27 мая</w:t>
      </w:r>
      <w:r>
        <w:rPr>
          <w:bCs/>
          <w:szCs w:val="28"/>
        </w:rPr>
        <w:t xml:space="preserve"> по </w:t>
      </w:r>
      <w:r w:rsidR="00B354B6">
        <w:rPr>
          <w:bCs/>
          <w:szCs w:val="28"/>
        </w:rPr>
        <w:t>02 июня</w:t>
      </w:r>
      <w:bookmarkStart w:id="0" w:name="_GoBack"/>
      <w:bookmarkEnd w:id="0"/>
      <w:r>
        <w:rPr>
          <w:bCs/>
          <w:szCs w:val="28"/>
        </w:rPr>
        <w:t xml:space="preserve"> 2024 г. для представления результатов независимой экспертизы.</w:t>
      </w:r>
    </w:p>
    <w:p w:rsidR="0058330C" w:rsidRDefault="0058330C">
      <w:pPr>
        <w:spacing w:line="276" w:lineRule="auto"/>
        <w:ind w:firstLine="708"/>
        <w:jc w:val="both"/>
        <w:rPr>
          <w:bCs/>
          <w:szCs w:val="28"/>
        </w:rPr>
      </w:pPr>
    </w:p>
    <w:p w:rsidR="0058330C" w:rsidRDefault="0058330C">
      <w:pPr>
        <w:spacing w:line="276" w:lineRule="auto"/>
        <w:ind w:firstLine="708"/>
        <w:jc w:val="both"/>
        <w:rPr>
          <w:bCs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91"/>
        <w:gridCol w:w="1542"/>
        <w:gridCol w:w="2222"/>
      </w:tblGrid>
      <w:tr w:rsidR="0058330C">
        <w:tc>
          <w:tcPr>
            <w:tcW w:w="56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8330C" w:rsidRDefault="008705C4">
            <w:pPr>
              <w:pStyle w:val="ConsPlusTitle"/>
              <w:numPr>
                <w:ilvl w:val="0"/>
                <w:numId w:val="0"/>
              </w:numPr>
              <w:spacing w:line="276" w:lineRule="auto"/>
              <w:jc w:val="left"/>
              <w:rPr>
                <w:bCs w:val="0"/>
              </w:rPr>
            </w:pPr>
            <w:r>
              <w:rPr>
                <w:bCs w:val="0"/>
              </w:rPr>
              <w:t xml:space="preserve">Заместитель Председателя </w:t>
            </w:r>
          </w:p>
          <w:p w:rsidR="0058330C" w:rsidRDefault="008705C4">
            <w:pPr>
              <w:pStyle w:val="ConsPlusTitle"/>
              <w:numPr>
                <w:ilvl w:val="0"/>
                <w:numId w:val="0"/>
              </w:numPr>
              <w:spacing w:line="276" w:lineRule="auto"/>
              <w:jc w:val="left"/>
              <w:rPr>
                <w:bCs w:val="0"/>
              </w:rPr>
            </w:pPr>
            <w:r>
              <w:rPr>
                <w:bCs w:val="0"/>
              </w:rPr>
              <w:t xml:space="preserve">Правительства Республики Бурятия - Руководитель Администрации Главы Республики Бурятия и Правительства </w:t>
            </w:r>
          </w:p>
          <w:p w:rsidR="0058330C" w:rsidRDefault="008705C4">
            <w:pPr>
              <w:pStyle w:val="ConsPlusTitle"/>
              <w:numPr>
                <w:ilvl w:val="0"/>
                <w:numId w:val="0"/>
              </w:numPr>
              <w:spacing w:line="276" w:lineRule="auto"/>
              <w:jc w:val="left"/>
              <w:rPr>
                <w:bCs w:val="0"/>
              </w:rPr>
            </w:pPr>
            <w:r>
              <w:rPr>
                <w:bCs w:val="0"/>
              </w:rPr>
              <w:t>Республики Бурятия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8330C" w:rsidRDefault="0058330C">
            <w:pPr>
              <w:pStyle w:val="ConsPlusTitle"/>
              <w:numPr>
                <w:ilvl w:val="0"/>
                <w:numId w:val="0"/>
              </w:numPr>
              <w:spacing w:line="276" w:lineRule="auto"/>
              <w:rPr>
                <w:bCs w:val="0"/>
              </w:rPr>
            </w:pPr>
          </w:p>
        </w:tc>
        <w:tc>
          <w:tcPr>
            <w:tcW w:w="22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8330C" w:rsidRDefault="0058330C">
            <w:pPr>
              <w:pStyle w:val="ConsPlusTitle"/>
              <w:numPr>
                <w:ilvl w:val="0"/>
                <w:numId w:val="0"/>
              </w:numPr>
              <w:spacing w:line="276" w:lineRule="auto"/>
              <w:rPr>
                <w:bCs w:val="0"/>
              </w:rPr>
            </w:pPr>
          </w:p>
          <w:p w:rsidR="0058330C" w:rsidRDefault="0058330C">
            <w:pPr>
              <w:pStyle w:val="ConsPlusTitle"/>
              <w:numPr>
                <w:ilvl w:val="0"/>
                <w:numId w:val="0"/>
              </w:numPr>
              <w:spacing w:line="276" w:lineRule="auto"/>
              <w:rPr>
                <w:bCs w:val="0"/>
              </w:rPr>
            </w:pPr>
          </w:p>
          <w:p w:rsidR="0058330C" w:rsidRDefault="0058330C">
            <w:pPr>
              <w:pStyle w:val="ConsPlusTitle"/>
              <w:numPr>
                <w:ilvl w:val="0"/>
                <w:numId w:val="0"/>
              </w:numPr>
              <w:spacing w:line="276" w:lineRule="auto"/>
              <w:rPr>
                <w:bCs w:val="0"/>
              </w:rPr>
            </w:pPr>
          </w:p>
          <w:p w:rsidR="0058330C" w:rsidRDefault="0058330C">
            <w:pPr>
              <w:pStyle w:val="ConsPlusTitle"/>
              <w:numPr>
                <w:ilvl w:val="0"/>
                <w:numId w:val="0"/>
              </w:numPr>
              <w:spacing w:line="276" w:lineRule="auto"/>
              <w:rPr>
                <w:bCs w:val="0"/>
              </w:rPr>
            </w:pPr>
          </w:p>
          <w:p w:rsidR="0058330C" w:rsidRDefault="008705C4">
            <w:pPr>
              <w:pStyle w:val="ConsPlusTitle"/>
              <w:numPr>
                <w:ilvl w:val="0"/>
                <w:numId w:val="0"/>
              </w:numPr>
              <w:spacing w:line="276" w:lineRule="auto"/>
              <w:jc w:val="right"/>
              <w:rPr>
                <w:bCs w:val="0"/>
              </w:rPr>
            </w:pPr>
            <w:r>
              <w:rPr>
                <w:bCs w:val="0"/>
              </w:rPr>
              <w:t>А. Ц. Гулгенов</w:t>
            </w:r>
          </w:p>
        </w:tc>
      </w:tr>
    </w:tbl>
    <w:p w:rsidR="0058330C" w:rsidRDefault="0058330C"/>
    <w:sectPr w:rsidR="00583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21A" w:rsidRDefault="0059621A">
      <w:r>
        <w:separator/>
      </w:r>
    </w:p>
  </w:endnote>
  <w:endnote w:type="continuationSeparator" w:id="0">
    <w:p w:rsidR="0059621A" w:rsidRDefault="0059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21A" w:rsidRDefault="0059621A">
      <w:r>
        <w:separator/>
      </w:r>
    </w:p>
  </w:footnote>
  <w:footnote w:type="continuationSeparator" w:id="0">
    <w:p w:rsidR="0059621A" w:rsidRDefault="00596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1303BA"/>
    <w:multiLevelType w:val="multilevel"/>
    <w:tmpl w:val="D19255F0"/>
    <w:lvl w:ilvl="0">
      <w:start w:val="1"/>
      <w:numFmt w:val="decimal"/>
      <w:lvlText w:val="%1."/>
      <w:lvlJc w:val="left"/>
      <w:pPr>
        <w:ind w:left="2119" w:hanging="1410"/>
      </w:pPr>
      <w:rPr>
        <w:sz w:val="28"/>
        <w:szCs w:val="28"/>
      </w:rPr>
    </w:lvl>
    <w:lvl w:ilvl="1">
      <w:start w:val="1"/>
      <w:numFmt w:val="decimal"/>
      <w:pStyle w:val="ConsPlusTitle"/>
      <w:lvlText w:val="%2."/>
      <w:lvlJc w:val="left"/>
      <w:pPr>
        <w:ind w:left="2839" w:hanging="720"/>
      </w:pPr>
      <w:rPr>
        <w:rFonts w:ascii="Times New Roman" w:eastAsia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4249" w:hanging="720"/>
      </w:pPr>
    </w:lvl>
    <w:lvl w:ilvl="3">
      <w:start w:val="1"/>
      <w:numFmt w:val="decimal"/>
      <w:lvlText w:val="%1.%2.%3.%4."/>
      <w:lvlJc w:val="left"/>
      <w:pPr>
        <w:ind w:left="6019" w:hanging="1080"/>
      </w:pPr>
    </w:lvl>
    <w:lvl w:ilvl="4">
      <w:start w:val="1"/>
      <w:numFmt w:val="decimal"/>
      <w:lvlText w:val="%1.%2.%3.%4.%5."/>
      <w:lvlJc w:val="left"/>
      <w:pPr>
        <w:ind w:left="7429" w:hanging="1080"/>
      </w:pPr>
    </w:lvl>
    <w:lvl w:ilvl="5">
      <w:start w:val="1"/>
      <w:numFmt w:val="decimal"/>
      <w:lvlText w:val="%1.%2.%3.%4.%5.%6."/>
      <w:lvlJc w:val="left"/>
      <w:pPr>
        <w:ind w:left="9199" w:hanging="1440"/>
      </w:pPr>
    </w:lvl>
    <w:lvl w:ilvl="6">
      <w:start w:val="1"/>
      <w:numFmt w:val="decimal"/>
      <w:lvlText w:val="%1.%2.%3.%4.%5.%6.%7."/>
      <w:lvlJc w:val="left"/>
      <w:pPr>
        <w:ind w:left="10969" w:hanging="1800"/>
      </w:pPr>
    </w:lvl>
    <w:lvl w:ilvl="7">
      <w:start w:val="1"/>
      <w:numFmt w:val="decimal"/>
      <w:lvlText w:val="%1.%2.%3.%4.%5.%6.%7.%8."/>
      <w:lvlJc w:val="left"/>
      <w:pPr>
        <w:ind w:left="12379" w:hanging="1800"/>
      </w:pPr>
    </w:lvl>
    <w:lvl w:ilvl="8">
      <w:start w:val="1"/>
      <w:numFmt w:val="decimal"/>
      <w:lvlText w:val="%1.%2.%3.%4.%5.%6.%7.%8.%9."/>
      <w:lvlJc w:val="left"/>
      <w:pPr>
        <w:ind w:left="1414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0C"/>
    <w:rsid w:val="0058330C"/>
    <w:rsid w:val="0059621A"/>
    <w:rsid w:val="008705C4"/>
    <w:rsid w:val="009430A7"/>
    <w:rsid w:val="00B3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99780-C598-4235-AF84-30848078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8"/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customStyle="1" w:styleId="ConsPlusTitle">
    <w:name w:val="ConsPlusTitle"/>
    <w:pPr>
      <w:numPr>
        <w:ilvl w:val="1"/>
        <w:numId w:val="1"/>
      </w:numPr>
      <w:tabs>
        <w:tab w:val="left" w:pos="1276"/>
      </w:tabs>
      <w:ind w:left="0" w:firstLine="709"/>
      <w:jc w:val="both"/>
    </w:pPr>
    <w:rPr>
      <w:bCs/>
      <w:sz w:val="28"/>
      <w:szCs w:val="28"/>
      <w:lang w:eastAsia="ru-RU" w:bidi="ar-SA"/>
    </w:rPr>
  </w:style>
  <w:style w:type="paragraph" w:customStyle="1" w:styleId="ConsPlusNormal">
    <w:name w:val="ConsPlusNormal"/>
    <w:pPr>
      <w:ind w:firstLine="720"/>
    </w:pPr>
    <w:rPr>
      <w:rFonts w:ascii="Arial" w:hAnsi="Arial"/>
      <w:lang w:eastAsia="ru-RU" w:bidi="ar-SA"/>
    </w:rPr>
  </w:style>
  <w:style w:type="character" w:customStyle="1" w:styleId="FontStyle11">
    <w:name w:val="Font Style11"/>
    <w:rPr>
      <w:rFonts w:ascii="Times New Roman" w:hAnsi="Times New Roman"/>
      <w:sz w:val="26"/>
      <w:szCs w:val="26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styleId="af9">
    <w:name w:val="Balloon Text"/>
    <w:basedOn w:val="a"/>
    <w:link w:val="afa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Республика Бурятия Министерство культуры</dc:creator>
  <cp:lastModifiedBy>Республика Бурятия Министерство культуры</cp:lastModifiedBy>
  <cp:revision>3</cp:revision>
  <dcterms:created xsi:type="dcterms:W3CDTF">2024-05-23T05:52:00Z</dcterms:created>
  <dcterms:modified xsi:type="dcterms:W3CDTF">2024-05-24T03:40:00Z</dcterms:modified>
</cp:coreProperties>
</file>