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951E1">
        <w:rPr>
          <w:b/>
          <w:sz w:val="24"/>
          <w:szCs w:val="24"/>
        </w:rPr>
        <w:t>04-14/59</w:t>
      </w:r>
      <w:r w:rsidRPr="00F9486B">
        <w:rPr>
          <w:b/>
          <w:sz w:val="24"/>
          <w:szCs w:val="24"/>
        </w:rPr>
        <w:t xml:space="preserve"> от </w:t>
      </w:r>
      <w:r w:rsidR="00C951E1">
        <w:rPr>
          <w:b/>
          <w:sz w:val="24"/>
          <w:szCs w:val="24"/>
        </w:rPr>
        <w:t>28.06.2023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C951E1">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ГКФХ </w:t>
            </w:r>
            <w:proofErr w:type="spellStart"/>
            <w:r>
              <w:rPr>
                <w:color w:val="000000"/>
                <w:sz w:val="24"/>
                <w:szCs w:val="24"/>
                <w:lang w:eastAsia="en-US"/>
              </w:rPr>
              <w:t>Лютаев</w:t>
            </w:r>
            <w:proofErr w:type="spellEnd"/>
            <w:r>
              <w:rPr>
                <w:color w:val="000000"/>
                <w:sz w:val="24"/>
                <w:szCs w:val="24"/>
                <w:lang w:eastAsia="en-US"/>
              </w:rPr>
              <w:t xml:space="preserve"> Г.В.</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C951E1">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перепелиного яйца (по ТУ</w:t>
            </w:r>
            <w:r w:rsidR="007E48C5">
              <w:rPr>
                <w:color w:val="000000"/>
                <w:sz w:val="24"/>
                <w:szCs w:val="24"/>
                <w:lang w:eastAsia="en-US"/>
              </w:rPr>
              <w:t xml:space="preserve"> - СТО</w:t>
            </w:r>
            <w:r>
              <w:rPr>
                <w:color w:val="000000"/>
                <w:sz w:val="24"/>
                <w:szCs w:val="24"/>
                <w:lang w:eastAsia="en-US"/>
              </w:rPr>
              <w:t xml:space="preserve"> срок годности 2 месяца), кусковых полуфабрикатов из мяса бройлера (цыпленка) или перепелов, охлажденных или замороженных,  изготовленных в виде тушки или частей тушки (мясокостных и (или) бескостных)</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C951E1">
            <w:pPr>
              <w:spacing w:line="254" w:lineRule="auto"/>
              <w:rPr>
                <w:color w:val="000000"/>
                <w:sz w:val="24"/>
                <w:szCs w:val="24"/>
                <w:lang w:eastAsia="en-US"/>
              </w:rPr>
            </w:pPr>
            <w:bookmarkStart w:id="2" w:name="Цена"/>
            <w:bookmarkEnd w:id="2"/>
            <w:r>
              <w:rPr>
                <w:color w:val="000000"/>
                <w:sz w:val="24"/>
                <w:szCs w:val="24"/>
                <w:lang w:eastAsia="en-US"/>
              </w:rPr>
              <w:t>145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C951E1">
            <w:pPr>
              <w:spacing w:line="254" w:lineRule="auto"/>
              <w:rPr>
                <w:color w:val="000000"/>
                <w:sz w:val="24"/>
                <w:szCs w:val="24"/>
                <w:lang w:eastAsia="en-US"/>
              </w:rPr>
            </w:pPr>
            <w:bookmarkStart w:id="3" w:name="Срок"/>
            <w:bookmarkEnd w:id="3"/>
            <w:r>
              <w:rPr>
                <w:color w:val="000000"/>
                <w:sz w:val="24"/>
                <w:szCs w:val="24"/>
                <w:lang w:eastAsia="en-US"/>
              </w:rPr>
              <w:t>Не позднее 90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C951E1">
            <w:pPr>
              <w:spacing w:line="254" w:lineRule="auto"/>
              <w:rPr>
                <w:color w:val="000000"/>
                <w:sz w:val="24"/>
                <w:szCs w:val="24"/>
                <w:lang w:eastAsia="en-US"/>
              </w:rPr>
            </w:pPr>
            <w:bookmarkStart w:id="4" w:name="Получатель"/>
            <w:bookmarkEnd w:id="4"/>
            <w:r>
              <w:rPr>
                <w:color w:val="000000"/>
                <w:sz w:val="24"/>
                <w:szCs w:val="24"/>
                <w:lang w:eastAsia="en-US"/>
              </w:rPr>
              <w:t xml:space="preserve">ИП ГКФХ </w:t>
            </w:r>
            <w:proofErr w:type="spellStart"/>
            <w:r>
              <w:rPr>
                <w:color w:val="000000"/>
                <w:sz w:val="24"/>
                <w:szCs w:val="24"/>
                <w:lang w:eastAsia="en-US"/>
              </w:rPr>
              <w:t>Лютаев</w:t>
            </w:r>
            <w:proofErr w:type="spellEnd"/>
            <w:r>
              <w:rPr>
                <w:color w:val="000000"/>
                <w:sz w:val="24"/>
                <w:szCs w:val="24"/>
                <w:lang w:eastAsia="en-US"/>
              </w:rPr>
              <w:t xml:space="preserve"> Г.В., Адрес: </w:t>
            </w:r>
            <w:proofErr w:type="gramStart"/>
            <w:r>
              <w:rPr>
                <w:color w:val="000000"/>
                <w:sz w:val="24"/>
                <w:szCs w:val="24"/>
                <w:lang w:eastAsia="en-US"/>
              </w:rPr>
              <w:t xml:space="preserve">Республика Бурятия, Прибайкальский район, с. Турунтаево, ул. Полевая, д.7., телефон: +79246590958, </w:t>
            </w:r>
            <w:proofErr w:type="spellStart"/>
            <w:r>
              <w:rPr>
                <w:color w:val="000000"/>
                <w:sz w:val="24"/>
                <w:szCs w:val="24"/>
                <w:lang w:eastAsia="en-US"/>
              </w:rPr>
              <w:t>e-mail</w:t>
            </w:r>
            <w:proofErr w:type="spellEnd"/>
            <w:r>
              <w:rPr>
                <w:color w:val="000000"/>
                <w:sz w:val="24"/>
                <w:szCs w:val="24"/>
                <w:lang w:eastAsia="en-US"/>
              </w:rPr>
              <w:t>:</w:t>
            </w:r>
            <w:proofErr w:type="gramEnd"/>
            <w:r>
              <w:rPr>
                <w:color w:val="000000"/>
                <w:sz w:val="24"/>
                <w:szCs w:val="24"/>
                <w:lang w:eastAsia="en-US"/>
              </w:rPr>
              <w:t xml:space="preserve"> </w:t>
            </w:r>
            <w:proofErr w:type="spellStart"/>
            <w:r>
              <w:rPr>
                <w:color w:val="000000"/>
                <w:sz w:val="24"/>
                <w:szCs w:val="24"/>
                <w:lang w:eastAsia="en-US"/>
              </w:rPr>
              <w:t>Nata_mirlove@mail.ru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C951E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C951E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C951E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951E1"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C951E1">
              <w:rPr>
                <w:sz w:val="24"/>
                <w:szCs w:val="24"/>
              </w:rPr>
              <w:t>До 12-00 11 июля 2023 года.</w:t>
            </w:r>
          </w:p>
          <w:p w:rsidR="00C01B0A" w:rsidRDefault="00C01B0A" w:rsidP="00AD55E7">
            <w:pPr>
              <w:spacing w:line="254" w:lineRule="auto"/>
              <w:rPr>
                <w:sz w:val="24"/>
                <w:szCs w:val="24"/>
              </w:rPr>
            </w:pPr>
          </w:p>
          <w:p w:rsidR="00CA47FA" w:rsidRPr="004C699A" w:rsidRDefault="007C3E2E" w:rsidP="00AD55E7">
            <w:pPr>
              <w:spacing w:line="254" w:lineRule="auto"/>
              <w:rPr>
                <w:sz w:val="24"/>
                <w:szCs w:val="24"/>
              </w:rPr>
            </w:pPr>
            <w:hyperlink r:id="rId5" w:history="1">
              <w:r w:rsidR="00562347">
                <w:rPr>
                  <w:rStyle w:val="a5"/>
                  <w:bCs/>
                  <w:szCs w:val="24"/>
                </w:rPr>
                <w:t>https://msp03.ru/konkursy/14986</w:t>
              </w:r>
            </w:hyperlink>
          </w:p>
          <w:p w:rsidR="004C699A" w:rsidRPr="004C699A" w:rsidRDefault="004C699A" w:rsidP="00AD55E7">
            <w:pPr>
              <w:spacing w:line="254" w:lineRule="auto"/>
              <w:rPr>
                <w:color w:val="000000"/>
                <w:sz w:val="24"/>
                <w:szCs w:val="24"/>
                <w:lang w:eastAsia="en-US"/>
              </w:rPr>
            </w:pPr>
            <w:bookmarkStart w:id="10" w:name="Ссылка"/>
            <w:bookmarkEnd w:id="10"/>
          </w:p>
        </w:tc>
      </w:tr>
      <w:tr w:rsidR="00F9486B" w:rsidRPr="007E48C5"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951E1">
        <w:rPr>
          <w:sz w:val="24"/>
          <w:szCs w:val="24"/>
        </w:rPr>
        <w:t>04-14/59</w:t>
      </w:r>
      <w:r w:rsidRPr="00A179EA">
        <w:rPr>
          <w:sz w:val="24"/>
          <w:szCs w:val="24"/>
        </w:rPr>
        <w:t xml:space="preserve"> от</w:t>
      </w:r>
      <w:r w:rsidR="00C951E1">
        <w:rPr>
          <w:sz w:val="24"/>
          <w:szCs w:val="24"/>
        </w:rPr>
        <w:t>28.06.2023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2" w:name="Предмет1"/>
      <w:bookmarkEnd w:id="12"/>
      <w:r w:rsidR="00C951E1">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ГКФХ </w:t>
      </w:r>
      <w:proofErr w:type="spellStart"/>
      <w:r w:rsidR="00C951E1">
        <w:rPr>
          <w:sz w:val="24"/>
          <w:szCs w:val="24"/>
        </w:rPr>
        <w:t>Лютаев</w:t>
      </w:r>
      <w:proofErr w:type="spellEnd"/>
      <w:r w:rsidR="00C951E1">
        <w:rPr>
          <w:sz w:val="24"/>
          <w:szCs w:val="24"/>
        </w:rPr>
        <w:t xml:space="preserve"> Г.В.</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C951E1">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ГКФХ </w:t>
      </w:r>
      <w:proofErr w:type="spellStart"/>
      <w:r w:rsidR="00C951E1">
        <w:rPr>
          <w:sz w:val="24"/>
          <w:szCs w:val="24"/>
        </w:rPr>
        <w:t>Лютаев</w:t>
      </w:r>
      <w:proofErr w:type="spellEnd"/>
      <w:r w:rsidR="00C951E1">
        <w:rPr>
          <w:sz w:val="24"/>
          <w:szCs w:val="24"/>
        </w:rPr>
        <w:t xml:space="preserve"> Г.В.</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7C3E2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proofErr w:type="gramStart"/>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565768">
            <w:pPr>
              <w:tabs>
                <w:tab w:val="left" w:pos="567"/>
              </w:tabs>
              <w:suppressAutoHyphens/>
              <w:jc w:val="right"/>
              <w:rPr>
                <w:color w:val="000000" w:themeColor="text1"/>
                <w:sz w:val="22"/>
                <w:szCs w:val="22"/>
              </w:rPr>
            </w:pPr>
          </w:p>
        </w:tc>
      </w:tr>
    </w:tbl>
    <w:p w:rsidR="00D912AC" w:rsidRDefault="00D912AC" w:rsidP="00974326">
      <w:pPr>
        <w:tabs>
          <w:tab w:val="left" w:pos="0"/>
        </w:tabs>
        <w:spacing w:line="300" w:lineRule="auto"/>
        <w:ind w:firstLine="567"/>
        <w:jc w:val="right"/>
        <w:rPr>
          <w:sz w:val="20"/>
          <w:szCs w:val="20"/>
        </w:rPr>
      </w:pPr>
    </w:p>
    <w:p w:rsidR="00D912AC" w:rsidRDefault="00D912AC">
      <w:pPr>
        <w:spacing w:after="200" w:line="276" w:lineRule="auto"/>
        <w:rPr>
          <w:sz w:val="20"/>
          <w:szCs w:val="20"/>
        </w:rPr>
      </w:pPr>
      <w:r>
        <w:rPr>
          <w:sz w:val="20"/>
          <w:szCs w:val="20"/>
        </w:rPr>
        <w:br w:type="page"/>
      </w:r>
    </w:p>
    <w:p w:rsidR="00D912AC" w:rsidRDefault="00D912AC" w:rsidP="00D912AC">
      <w:pPr>
        <w:ind w:firstLine="709"/>
        <w:jc w:val="center"/>
        <w:outlineLvl w:val="0"/>
        <w:rPr>
          <w:b/>
          <w:sz w:val="22"/>
          <w:szCs w:val="22"/>
        </w:rPr>
      </w:pPr>
      <w:r>
        <w:rPr>
          <w:b/>
          <w:sz w:val="22"/>
          <w:szCs w:val="22"/>
        </w:rPr>
        <w:lastRenderedPageBreak/>
        <w:t>ТЕХНИЧЕСКОЕ ЗАДАНИЕ</w:t>
      </w:r>
    </w:p>
    <w:p w:rsidR="00D912AC" w:rsidRDefault="00D912AC" w:rsidP="00D912AC">
      <w:pPr>
        <w:autoSpaceDE w:val="0"/>
        <w:autoSpaceDN w:val="0"/>
        <w:adjustRightInd w:val="0"/>
        <w:ind w:firstLine="709"/>
        <w:jc w:val="center"/>
        <w:outlineLvl w:val="0"/>
        <w:rPr>
          <w:b/>
          <w:bCs/>
          <w:sz w:val="24"/>
          <w:szCs w:val="24"/>
        </w:rPr>
      </w:pPr>
      <w:r>
        <w:rPr>
          <w:b/>
          <w:bCs/>
        </w:rPr>
        <w:t>на оказание услуг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D912AC" w:rsidRDefault="00D912AC" w:rsidP="00D912AC">
      <w:pPr>
        <w:numPr>
          <w:ilvl w:val="0"/>
          <w:numId w:val="20"/>
        </w:numPr>
        <w:tabs>
          <w:tab w:val="left" w:pos="993"/>
        </w:tabs>
        <w:spacing w:before="100" w:beforeAutospacing="1" w:after="100" w:afterAutospacing="1"/>
        <w:ind w:left="0" w:firstLine="709"/>
        <w:contextualSpacing/>
        <w:jc w:val="both"/>
        <w:rPr>
          <w:b/>
          <w:sz w:val="22"/>
          <w:szCs w:val="22"/>
          <w:lang w:val="pt-BR"/>
        </w:rPr>
      </w:pPr>
      <w:r>
        <w:rPr>
          <w:b/>
          <w:sz w:val="22"/>
          <w:szCs w:val="22"/>
        </w:rPr>
        <w:t>Заказчик: Гарантийный фонд Бурятии</w:t>
      </w:r>
    </w:p>
    <w:p w:rsidR="00D912AC" w:rsidRDefault="00D912AC" w:rsidP="00D912AC">
      <w:pPr>
        <w:numPr>
          <w:ilvl w:val="0"/>
          <w:numId w:val="20"/>
        </w:numPr>
        <w:tabs>
          <w:tab w:val="left" w:pos="993"/>
        </w:tabs>
        <w:spacing w:before="100" w:beforeAutospacing="1" w:after="100" w:afterAutospacing="1"/>
        <w:ind w:left="0" w:firstLine="709"/>
        <w:contextualSpacing/>
        <w:jc w:val="both"/>
        <w:rPr>
          <w:b/>
          <w:sz w:val="22"/>
          <w:szCs w:val="22"/>
        </w:rPr>
      </w:pPr>
      <w:r>
        <w:rPr>
          <w:b/>
          <w:sz w:val="22"/>
          <w:szCs w:val="22"/>
        </w:rPr>
        <w:t xml:space="preserve">Получатель услуги: ИП ГКФХ </w:t>
      </w:r>
      <w:proofErr w:type="spellStart"/>
      <w:r>
        <w:rPr>
          <w:b/>
          <w:color w:val="000000" w:themeColor="text1"/>
        </w:rPr>
        <w:t>Лютаев</w:t>
      </w:r>
      <w:proofErr w:type="spellEnd"/>
      <w:r>
        <w:rPr>
          <w:b/>
          <w:color w:val="000000" w:themeColor="text1"/>
        </w:rPr>
        <w:t xml:space="preserve"> Г.В.</w:t>
      </w:r>
      <w:r>
        <w:rPr>
          <w:b/>
          <w:sz w:val="22"/>
          <w:szCs w:val="22"/>
        </w:rPr>
        <w:t xml:space="preserve"> </w:t>
      </w:r>
    </w:p>
    <w:p w:rsidR="00D912AC" w:rsidRDefault="00D912AC" w:rsidP="00D912AC">
      <w:pPr>
        <w:numPr>
          <w:ilvl w:val="0"/>
          <w:numId w:val="20"/>
        </w:numPr>
        <w:tabs>
          <w:tab w:val="left" w:pos="993"/>
        </w:tabs>
        <w:spacing w:before="100" w:beforeAutospacing="1" w:after="100" w:afterAutospacing="1"/>
        <w:ind w:left="0" w:firstLine="709"/>
        <w:contextualSpacing/>
        <w:jc w:val="both"/>
        <w:rPr>
          <w:b/>
          <w:sz w:val="22"/>
          <w:szCs w:val="22"/>
        </w:rPr>
      </w:pPr>
      <w:r>
        <w:rPr>
          <w:b/>
          <w:sz w:val="22"/>
          <w:szCs w:val="22"/>
        </w:rPr>
        <w:t>Источник финансирования</w:t>
      </w:r>
      <w:r>
        <w:rPr>
          <w:sz w:val="22"/>
          <w:szCs w:val="22"/>
        </w:rPr>
        <w:t>: средства субсидии</w:t>
      </w:r>
      <w:r>
        <w:rPr>
          <w:b/>
          <w:sz w:val="22"/>
          <w:szCs w:val="22"/>
        </w:rPr>
        <w:t xml:space="preserve"> </w:t>
      </w:r>
      <w:r>
        <w:rPr>
          <w:sz w:val="22"/>
          <w:szCs w:val="22"/>
        </w:rPr>
        <w:t>на создание и (или) развитие Регионального центра инжиниринга Республики Бурятия»</w:t>
      </w:r>
    </w:p>
    <w:p w:rsidR="00D912AC" w:rsidRDefault="00D912AC" w:rsidP="00D912AC">
      <w:pPr>
        <w:numPr>
          <w:ilvl w:val="0"/>
          <w:numId w:val="20"/>
        </w:numPr>
        <w:tabs>
          <w:tab w:val="left" w:pos="993"/>
        </w:tabs>
        <w:spacing w:before="100" w:beforeAutospacing="1" w:after="100" w:afterAutospacing="1"/>
        <w:ind w:left="0" w:firstLine="709"/>
        <w:contextualSpacing/>
        <w:jc w:val="both"/>
        <w:rPr>
          <w:b/>
          <w:sz w:val="22"/>
          <w:szCs w:val="22"/>
        </w:rPr>
      </w:pPr>
      <w:r>
        <w:rPr>
          <w:b/>
          <w:sz w:val="22"/>
          <w:szCs w:val="22"/>
        </w:rPr>
        <w:t>Основное содержание услуг</w:t>
      </w:r>
      <w:r>
        <w:rPr>
          <w:b/>
          <w:sz w:val="22"/>
          <w:szCs w:val="22"/>
          <w:lang w:val="en-US"/>
        </w:rPr>
        <w:t>:</w:t>
      </w:r>
    </w:p>
    <w:p w:rsidR="00D912AC" w:rsidRDefault="00D912AC" w:rsidP="00D912AC">
      <w:pPr>
        <w:numPr>
          <w:ilvl w:val="1"/>
          <w:numId w:val="21"/>
        </w:numPr>
        <w:tabs>
          <w:tab w:val="left" w:pos="993"/>
          <w:tab w:val="left" w:pos="1134"/>
        </w:tabs>
        <w:spacing w:before="100" w:beforeAutospacing="1" w:after="100" w:afterAutospacing="1"/>
        <w:ind w:left="0" w:firstLine="709"/>
        <w:contextualSpacing/>
        <w:jc w:val="both"/>
        <w:rPr>
          <w:sz w:val="22"/>
          <w:szCs w:val="22"/>
        </w:rPr>
      </w:pPr>
      <w:r>
        <w:rPr>
          <w:sz w:val="22"/>
          <w:szCs w:val="22"/>
        </w:rPr>
        <w:t xml:space="preserve">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Pr>
          <w:bCs/>
          <w:sz w:val="22"/>
          <w:szCs w:val="22"/>
        </w:rPr>
        <w:t xml:space="preserve">- </w:t>
      </w:r>
      <w:r>
        <w:rPr>
          <w:sz w:val="22"/>
          <w:szCs w:val="22"/>
        </w:rPr>
        <w:t>декларирование продукции на соответствие требованиям Технического регламента Таможенного союза «О безопасности пищевой продукции» (</w:t>
      </w:r>
      <w:proofErr w:type="gramStart"/>
      <w:r>
        <w:rPr>
          <w:sz w:val="22"/>
          <w:szCs w:val="22"/>
        </w:rPr>
        <w:t>ТР</w:t>
      </w:r>
      <w:proofErr w:type="gramEnd"/>
      <w:r>
        <w:rPr>
          <w:sz w:val="22"/>
          <w:szCs w:val="22"/>
        </w:rPr>
        <w:t xml:space="preserve">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w:t>
      </w:r>
      <w:proofErr w:type="spellStart"/>
      <w:r>
        <w:rPr>
          <w:sz w:val="22"/>
          <w:szCs w:val="22"/>
        </w:rPr>
        <w:t>ароматизаторов</w:t>
      </w:r>
      <w:proofErr w:type="spellEnd"/>
      <w:r>
        <w:rPr>
          <w:sz w:val="22"/>
          <w:szCs w:val="22"/>
        </w:rPr>
        <w:t xml:space="preserve"> и технологических вспомогательных веществ» (</w:t>
      </w:r>
      <w:proofErr w:type="gramStart"/>
      <w:r>
        <w:rPr>
          <w:sz w:val="22"/>
          <w:szCs w:val="22"/>
        </w:rPr>
        <w:t>ТР</w:t>
      </w:r>
      <w:proofErr w:type="gramEnd"/>
      <w:r>
        <w:rPr>
          <w:sz w:val="22"/>
          <w:szCs w:val="22"/>
        </w:rPr>
        <w:t xml:space="preserve"> ТС 029/2012); ТР ЕАЭС 051-2021 «О безопасности мяса птицы»</w:t>
      </w:r>
    </w:p>
    <w:p w:rsidR="00D912AC" w:rsidRDefault="00D912AC" w:rsidP="00D912AC">
      <w:pPr>
        <w:numPr>
          <w:ilvl w:val="1"/>
          <w:numId w:val="21"/>
        </w:numPr>
        <w:tabs>
          <w:tab w:val="left" w:pos="993"/>
          <w:tab w:val="left" w:pos="1134"/>
        </w:tabs>
        <w:spacing w:before="100" w:beforeAutospacing="1" w:after="100" w:afterAutospacing="1"/>
        <w:ind w:left="0" w:firstLine="709"/>
        <w:contextualSpacing/>
        <w:jc w:val="both"/>
        <w:rPr>
          <w:sz w:val="22"/>
          <w:szCs w:val="22"/>
        </w:rPr>
      </w:pPr>
      <w:r>
        <w:rPr>
          <w:sz w:val="22"/>
          <w:szCs w:val="22"/>
        </w:rPr>
        <w:t xml:space="preserve"> Цель проведения декларировани</w:t>
      </w:r>
      <w:proofErr w:type="gramStart"/>
      <w:r>
        <w:rPr>
          <w:sz w:val="22"/>
          <w:szCs w:val="22"/>
        </w:rPr>
        <w:t>я-</w:t>
      </w:r>
      <w:proofErr w:type="gramEnd"/>
      <w:r>
        <w:rPr>
          <w:sz w:val="22"/>
          <w:szCs w:val="22"/>
        </w:rPr>
        <w:t xml:space="preserve"> получение необходимых разрешительных документов на продукцию:</w:t>
      </w:r>
    </w:p>
    <w:p w:rsidR="00D912AC" w:rsidRDefault="00D912AC" w:rsidP="00D912AC">
      <w:pPr>
        <w:tabs>
          <w:tab w:val="left" w:pos="993"/>
          <w:tab w:val="left" w:pos="1134"/>
        </w:tabs>
        <w:spacing w:before="100" w:beforeAutospacing="1" w:after="100" w:afterAutospacing="1"/>
        <w:ind w:firstLine="709"/>
        <w:contextualSpacing/>
        <w:jc w:val="both"/>
        <w:rPr>
          <w:sz w:val="22"/>
          <w:szCs w:val="22"/>
        </w:rPr>
      </w:pPr>
      <w:r>
        <w:rPr>
          <w:sz w:val="22"/>
          <w:szCs w:val="22"/>
        </w:rPr>
        <w:t>Яйца перепелиные;</w:t>
      </w:r>
    </w:p>
    <w:p w:rsidR="00D912AC" w:rsidRDefault="00D912AC" w:rsidP="00D912AC">
      <w:pPr>
        <w:tabs>
          <w:tab w:val="left" w:pos="993"/>
          <w:tab w:val="left" w:pos="1134"/>
        </w:tabs>
        <w:spacing w:before="100" w:beforeAutospacing="1" w:after="100" w:afterAutospacing="1"/>
        <w:ind w:firstLine="709"/>
        <w:contextualSpacing/>
        <w:jc w:val="both"/>
        <w:rPr>
          <w:sz w:val="22"/>
          <w:szCs w:val="22"/>
        </w:rPr>
      </w:pPr>
      <w:r>
        <w:t xml:space="preserve">кусковой полуфабрикат из мяса бройлера </w:t>
      </w:r>
      <w:r>
        <w:rPr>
          <w:sz w:val="22"/>
          <w:szCs w:val="22"/>
        </w:rPr>
        <w:t>(цыпленка)</w:t>
      </w:r>
      <w:r>
        <w:t xml:space="preserve"> охлажденный и замороженный</w:t>
      </w:r>
      <w:r>
        <w:rPr>
          <w:sz w:val="22"/>
          <w:szCs w:val="22"/>
        </w:rPr>
        <w:t xml:space="preserve">, </w:t>
      </w:r>
    </w:p>
    <w:p w:rsidR="00D912AC" w:rsidRDefault="00D912AC" w:rsidP="00D912AC">
      <w:pPr>
        <w:tabs>
          <w:tab w:val="left" w:pos="993"/>
          <w:tab w:val="left" w:pos="1134"/>
        </w:tabs>
        <w:spacing w:before="100" w:beforeAutospacing="1" w:after="100" w:afterAutospacing="1"/>
        <w:ind w:firstLine="709"/>
        <w:contextualSpacing/>
        <w:jc w:val="both"/>
        <w:rPr>
          <w:sz w:val="24"/>
          <w:szCs w:val="24"/>
        </w:rPr>
      </w:pPr>
      <w:r>
        <w:t xml:space="preserve">кусковой полуфабрикат из мяса перепелов охлажденный и замороженный </w:t>
      </w:r>
    </w:p>
    <w:p w:rsidR="00D912AC" w:rsidRDefault="00D912AC" w:rsidP="00D912AC">
      <w:pPr>
        <w:tabs>
          <w:tab w:val="left" w:pos="993"/>
          <w:tab w:val="left" w:pos="1134"/>
        </w:tabs>
        <w:spacing w:before="100" w:beforeAutospacing="1" w:after="100" w:afterAutospacing="1"/>
        <w:ind w:firstLine="709"/>
        <w:contextualSpacing/>
        <w:jc w:val="both"/>
        <w:rPr>
          <w:b/>
          <w:bCs/>
          <w:sz w:val="22"/>
          <w:szCs w:val="22"/>
        </w:rPr>
      </w:pPr>
      <w:r>
        <w:rPr>
          <w:b/>
          <w:bCs/>
          <w:sz w:val="22"/>
          <w:szCs w:val="22"/>
        </w:rPr>
        <w:t>3.2.2. Полный список получаемой документации и реализуемых услуг:</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7195"/>
        <w:gridCol w:w="1984"/>
      </w:tblGrid>
      <w:tr w:rsidR="00D912AC" w:rsidRPr="007E48C5" w:rsidTr="00D912AC">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b/>
                <w:kern w:val="2"/>
                <w:sz w:val="22"/>
                <w:szCs w:val="22"/>
                <w:lang w:eastAsia="en-US"/>
              </w:rPr>
            </w:pPr>
            <w:r w:rsidRPr="007E48C5">
              <w:rPr>
                <w:b/>
                <w:sz w:val="22"/>
                <w:szCs w:val="22"/>
              </w:rPr>
              <w:t>№</w:t>
            </w:r>
          </w:p>
        </w:tc>
        <w:tc>
          <w:tcPr>
            <w:tcW w:w="7195"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b/>
                <w:kern w:val="2"/>
                <w:sz w:val="22"/>
                <w:szCs w:val="22"/>
                <w:lang w:val="pt-BR" w:eastAsia="en-US"/>
              </w:rPr>
            </w:pPr>
            <w:r w:rsidRPr="007E48C5">
              <w:rPr>
                <w:b/>
                <w:sz w:val="22"/>
                <w:szCs w:val="22"/>
              </w:rPr>
              <w:t>Услуга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b/>
                <w:kern w:val="2"/>
                <w:sz w:val="22"/>
                <w:szCs w:val="22"/>
                <w:lang w:eastAsia="en-US"/>
              </w:rPr>
            </w:pPr>
            <w:r w:rsidRPr="007E48C5">
              <w:rPr>
                <w:b/>
                <w:sz w:val="22"/>
                <w:szCs w:val="22"/>
              </w:rPr>
              <w:t>Итоговый документ</w:t>
            </w:r>
          </w:p>
        </w:tc>
      </w:tr>
      <w:tr w:rsidR="00D912AC" w:rsidRPr="007E48C5" w:rsidTr="00D912AC">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kern w:val="2"/>
                <w:sz w:val="22"/>
                <w:szCs w:val="22"/>
                <w:lang w:eastAsia="en-US"/>
              </w:rPr>
            </w:pPr>
            <w:r w:rsidRPr="007E48C5">
              <w:rPr>
                <w:sz w:val="22"/>
                <w:szCs w:val="22"/>
              </w:rPr>
              <w:t>1</w:t>
            </w:r>
          </w:p>
        </w:tc>
        <w:tc>
          <w:tcPr>
            <w:tcW w:w="7195"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spacing w:line="256" w:lineRule="auto"/>
              <w:rPr>
                <w:rFonts w:eastAsia="DejaVu Sans"/>
                <w:kern w:val="2"/>
                <w:sz w:val="22"/>
                <w:szCs w:val="22"/>
              </w:rPr>
            </w:pPr>
            <w:r w:rsidRPr="007E48C5">
              <w:rPr>
                <w:sz w:val="22"/>
                <w:szCs w:val="22"/>
              </w:rPr>
              <w:t xml:space="preserve">Регистрация деклараций о соответствии на продукцию: </w:t>
            </w:r>
          </w:p>
          <w:p w:rsidR="00D912AC" w:rsidRPr="007E48C5" w:rsidRDefault="00D912AC">
            <w:pPr>
              <w:spacing w:line="256" w:lineRule="auto"/>
              <w:rPr>
                <w:rFonts w:ascii="Liberation Serif" w:hAnsi="Liberation Serif"/>
                <w:sz w:val="22"/>
                <w:szCs w:val="22"/>
              </w:rPr>
            </w:pPr>
            <w:r w:rsidRPr="007E48C5">
              <w:rPr>
                <w:sz w:val="22"/>
                <w:szCs w:val="22"/>
              </w:rPr>
              <w:t>Яйца</w:t>
            </w:r>
            <w:r w:rsidR="00C75B8B" w:rsidRPr="007E48C5">
              <w:rPr>
                <w:sz w:val="22"/>
                <w:szCs w:val="22"/>
              </w:rPr>
              <w:t xml:space="preserve"> перепелиные</w:t>
            </w:r>
            <w:r w:rsidRPr="007E48C5">
              <w:rPr>
                <w:sz w:val="22"/>
                <w:szCs w:val="22"/>
              </w:rPr>
              <w:t xml:space="preserve"> (срок годности 2 месяца), </w:t>
            </w:r>
          </w:p>
          <w:p w:rsidR="00D912AC" w:rsidRPr="007E48C5" w:rsidRDefault="00D912AC">
            <w:pPr>
              <w:spacing w:line="256" w:lineRule="auto"/>
              <w:rPr>
                <w:sz w:val="22"/>
                <w:szCs w:val="22"/>
              </w:rPr>
            </w:pPr>
            <w:r w:rsidRPr="007E48C5">
              <w:rPr>
                <w:sz w:val="22"/>
                <w:szCs w:val="22"/>
              </w:rPr>
              <w:t xml:space="preserve">кусковой </w:t>
            </w:r>
            <w:proofErr w:type="gramStart"/>
            <w:r w:rsidRPr="007E48C5">
              <w:rPr>
                <w:sz w:val="22"/>
                <w:szCs w:val="22"/>
              </w:rPr>
              <w:t>полуфабрикат</w:t>
            </w:r>
            <w:proofErr w:type="gramEnd"/>
            <w:r w:rsidRPr="007E48C5">
              <w:rPr>
                <w:sz w:val="22"/>
                <w:szCs w:val="22"/>
              </w:rPr>
              <w:t xml:space="preserve"> из мяса бройлера охлажденный и замороженный  изготовленный в виде тушки или частей тушки (мясокостных и (или) бескостных)</w:t>
            </w:r>
          </w:p>
          <w:p w:rsidR="00D912AC" w:rsidRPr="007E48C5" w:rsidRDefault="00D912AC">
            <w:pPr>
              <w:widowControl w:val="0"/>
              <w:suppressAutoHyphens/>
              <w:spacing w:line="256" w:lineRule="auto"/>
              <w:rPr>
                <w:rFonts w:eastAsia="DejaVu Sans"/>
                <w:kern w:val="2"/>
                <w:sz w:val="22"/>
                <w:szCs w:val="22"/>
                <w:lang w:eastAsia="en-US"/>
              </w:rPr>
            </w:pPr>
            <w:r w:rsidRPr="007E48C5">
              <w:rPr>
                <w:sz w:val="22"/>
                <w:szCs w:val="22"/>
              </w:rPr>
              <w:t xml:space="preserve">кусковой </w:t>
            </w:r>
            <w:proofErr w:type="gramStart"/>
            <w:r w:rsidRPr="007E48C5">
              <w:rPr>
                <w:sz w:val="22"/>
                <w:szCs w:val="22"/>
              </w:rPr>
              <w:t>полуфабрикат</w:t>
            </w:r>
            <w:proofErr w:type="gramEnd"/>
            <w:r w:rsidRPr="007E48C5">
              <w:rPr>
                <w:sz w:val="22"/>
                <w:szCs w:val="22"/>
              </w:rPr>
              <w:t xml:space="preserve"> из мяса перепелов охлажденный и замороженный  изготовленный в виде тушки или частей тушки (мясокостных и (или) бескостных)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kern w:val="2"/>
                <w:sz w:val="22"/>
                <w:szCs w:val="22"/>
                <w:lang w:eastAsia="en-US"/>
              </w:rPr>
            </w:pPr>
            <w:r w:rsidRPr="007E48C5">
              <w:rPr>
                <w:sz w:val="22"/>
                <w:szCs w:val="22"/>
              </w:rPr>
              <w:t>Декларация соответствия сроком на 3года</w:t>
            </w:r>
          </w:p>
        </w:tc>
      </w:tr>
      <w:tr w:rsidR="00D912AC" w:rsidRPr="007E48C5" w:rsidTr="00D912AC">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kern w:val="2"/>
                <w:sz w:val="22"/>
                <w:szCs w:val="22"/>
                <w:lang w:eastAsia="en-US"/>
              </w:rPr>
            </w:pPr>
            <w:r w:rsidRPr="007E48C5">
              <w:rPr>
                <w:sz w:val="22"/>
                <w:szCs w:val="22"/>
              </w:rPr>
              <w:t>2</w:t>
            </w:r>
          </w:p>
        </w:tc>
        <w:tc>
          <w:tcPr>
            <w:tcW w:w="7195"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kern w:val="2"/>
                <w:sz w:val="22"/>
                <w:szCs w:val="22"/>
                <w:lang w:eastAsia="en-US"/>
              </w:rPr>
            </w:pPr>
            <w:r w:rsidRPr="007E48C5">
              <w:rPr>
                <w:sz w:val="22"/>
                <w:szCs w:val="22"/>
              </w:rPr>
              <w:t>Проведение испытаний продукции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kern w:val="2"/>
                <w:sz w:val="22"/>
                <w:szCs w:val="22"/>
                <w:lang w:eastAsia="en-US"/>
              </w:rPr>
            </w:pPr>
            <w:r w:rsidRPr="007E48C5">
              <w:rPr>
                <w:sz w:val="22"/>
                <w:szCs w:val="22"/>
              </w:rPr>
              <w:t>Протоколы испытаний</w:t>
            </w:r>
          </w:p>
        </w:tc>
      </w:tr>
      <w:tr w:rsidR="00D912AC" w:rsidRPr="007E48C5" w:rsidTr="00D912AC">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kern w:val="2"/>
                <w:sz w:val="22"/>
                <w:szCs w:val="22"/>
                <w:lang w:eastAsia="en-US"/>
              </w:rPr>
            </w:pPr>
            <w:r w:rsidRPr="007E48C5">
              <w:rPr>
                <w:sz w:val="22"/>
                <w:szCs w:val="22"/>
              </w:rPr>
              <w:t>3</w:t>
            </w:r>
          </w:p>
        </w:tc>
        <w:tc>
          <w:tcPr>
            <w:tcW w:w="7195"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kern w:val="2"/>
                <w:sz w:val="22"/>
                <w:szCs w:val="22"/>
                <w:lang w:eastAsia="en-US"/>
              </w:rPr>
            </w:pPr>
            <w:r w:rsidRPr="007E48C5">
              <w:rPr>
                <w:sz w:val="22"/>
                <w:szCs w:val="22"/>
              </w:rPr>
              <w:t xml:space="preserve">Разработка технических условий </w:t>
            </w:r>
            <w:r w:rsidR="007E48C5">
              <w:rPr>
                <w:sz w:val="22"/>
                <w:szCs w:val="22"/>
              </w:rPr>
              <w:t xml:space="preserve">(стандарта организации) </w:t>
            </w:r>
            <w:r w:rsidRPr="007E48C5">
              <w:rPr>
                <w:sz w:val="22"/>
                <w:szCs w:val="22"/>
              </w:rPr>
              <w:t>на яйца</w:t>
            </w:r>
            <w:r w:rsidR="00F65E58" w:rsidRPr="007E48C5">
              <w:rPr>
                <w:sz w:val="22"/>
                <w:szCs w:val="22"/>
              </w:rPr>
              <w:t xml:space="preserve"> </w:t>
            </w:r>
            <w:proofErr w:type="spellStart"/>
            <w:r w:rsidR="00F65E58" w:rsidRPr="007E48C5">
              <w:rPr>
                <w:sz w:val="22"/>
                <w:szCs w:val="22"/>
              </w:rPr>
              <w:t>перепелинные</w:t>
            </w:r>
            <w:proofErr w:type="spellEnd"/>
            <w:r w:rsidRPr="007E48C5">
              <w:rPr>
                <w:sz w:val="22"/>
                <w:szCs w:val="22"/>
              </w:rPr>
              <w:t xml:space="preserve"> (по Т</w:t>
            </w:r>
            <w:proofErr w:type="gramStart"/>
            <w:r w:rsidRPr="007E48C5">
              <w:rPr>
                <w:sz w:val="22"/>
                <w:szCs w:val="22"/>
              </w:rPr>
              <w:t>У</w:t>
            </w:r>
            <w:r w:rsidR="007E48C5" w:rsidRPr="007E48C5">
              <w:rPr>
                <w:sz w:val="22"/>
                <w:szCs w:val="22"/>
              </w:rPr>
              <w:t>-</w:t>
            </w:r>
            <w:proofErr w:type="gramEnd"/>
            <w:r w:rsidR="007E48C5" w:rsidRPr="007E48C5">
              <w:rPr>
                <w:sz w:val="22"/>
                <w:szCs w:val="22"/>
              </w:rPr>
              <w:t xml:space="preserve"> СТО </w:t>
            </w:r>
            <w:r w:rsidRPr="007E48C5">
              <w:rPr>
                <w:sz w:val="22"/>
                <w:szCs w:val="22"/>
              </w:rPr>
              <w:t xml:space="preserve"> предусматривается срок годности 2 месяца),</w:t>
            </w:r>
            <w:r w:rsidR="007E48C5" w:rsidRPr="007E48C5">
              <w:rPr>
                <w:sz w:val="22"/>
                <w:szCs w:val="22"/>
              </w:rPr>
              <w:t xml:space="preserve"> разработка </w:t>
            </w:r>
            <w:r w:rsidR="007E48C5">
              <w:rPr>
                <w:sz w:val="22"/>
                <w:szCs w:val="22"/>
              </w:rPr>
              <w:t>технических условий (стандарта организации)</w:t>
            </w:r>
            <w:r w:rsidR="007E48C5" w:rsidRPr="007E48C5">
              <w:rPr>
                <w:sz w:val="22"/>
                <w:szCs w:val="22"/>
              </w:rPr>
              <w:t xml:space="preserve"> на полуфабрикаты из мяса птицы</w:t>
            </w:r>
            <w:r w:rsidRPr="007E48C5">
              <w:rPr>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912AC" w:rsidRPr="007E48C5" w:rsidRDefault="00D912AC">
            <w:pPr>
              <w:widowControl w:val="0"/>
              <w:suppressAutoHyphens/>
              <w:spacing w:line="256" w:lineRule="auto"/>
              <w:rPr>
                <w:rFonts w:eastAsia="DejaVu Sans"/>
                <w:kern w:val="2"/>
                <w:sz w:val="22"/>
                <w:szCs w:val="22"/>
                <w:lang w:eastAsia="en-US"/>
              </w:rPr>
            </w:pPr>
            <w:r w:rsidRPr="007E48C5">
              <w:rPr>
                <w:sz w:val="22"/>
                <w:szCs w:val="22"/>
              </w:rPr>
              <w:t>Технические условия</w:t>
            </w:r>
            <w:r w:rsidR="007E48C5">
              <w:rPr>
                <w:sz w:val="22"/>
                <w:szCs w:val="22"/>
              </w:rPr>
              <w:t xml:space="preserve"> (Стандарт организации)</w:t>
            </w:r>
          </w:p>
        </w:tc>
      </w:tr>
    </w:tbl>
    <w:p w:rsidR="00D912AC" w:rsidRDefault="00D912AC" w:rsidP="00D912AC">
      <w:pPr>
        <w:numPr>
          <w:ilvl w:val="0"/>
          <w:numId w:val="21"/>
        </w:numPr>
        <w:tabs>
          <w:tab w:val="left" w:pos="993"/>
        </w:tabs>
        <w:spacing w:before="100" w:beforeAutospacing="1" w:after="100" w:afterAutospacing="1"/>
        <w:ind w:left="0" w:firstLine="567"/>
        <w:contextualSpacing/>
        <w:jc w:val="both"/>
        <w:rPr>
          <w:b/>
          <w:sz w:val="22"/>
          <w:szCs w:val="22"/>
          <w:lang w:val="pt-BR"/>
        </w:rPr>
      </w:pPr>
      <w:r>
        <w:rPr>
          <w:b/>
          <w:sz w:val="22"/>
          <w:szCs w:val="22"/>
        </w:rPr>
        <w:t>Условия оказания услуг:</w:t>
      </w:r>
    </w:p>
    <w:p w:rsidR="00D912AC" w:rsidRDefault="00D912AC" w:rsidP="00D912AC">
      <w:pPr>
        <w:tabs>
          <w:tab w:val="left" w:pos="993"/>
        </w:tabs>
        <w:spacing w:before="100" w:beforeAutospacing="1" w:after="100" w:afterAutospacing="1"/>
        <w:ind w:firstLine="567"/>
        <w:contextualSpacing/>
        <w:jc w:val="both"/>
        <w:rPr>
          <w:sz w:val="22"/>
          <w:szCs w:val="22"/>
        </w:rPr>
      </w:pPr>
      <w:r>
        <w:rPr>
          <w:b/>
          <w:sz w:val="22"/>
          <w:szCs w:val="22"/>
        </w:rPr>
        <w:t xml:space="preserve">4.1. </w:t>
      </w:r>
      <w:r>
        <w:rPr>
          <w:sz w:val="22"/>
          <w:szCs w:val="22"/>
        </w:rPr>
        <w:t xml:space="preserve">Получатель услуги присылает самостоятельно образцы продукции в испытательную лабораторию </w:t>
      </w:r>
    </w:p>
    <w:p w:rsidR="00D912AC" w:rsidRDefault="00D912AC" w:rsidP="00D912AC">
      <w:pPr>
        <w:numPr>
          <w:ilvl w:val="0"/>
          <w:numId w:val="22"/>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присылает полное описание продукции и реквизиты конечного получателя Услуги</w:t>
      </w:r>
    </w:p>
    <w:p w:rsidR="00D912AC" w:rsidRDefault="00D912AC" w:rsidP="00D912AC">
      <w:pPr>
        <w:numPr>
          <w:ilvl w:val="0"/>
          <w:numId w:val="22"/>
        </w:numPr>
        <w:tabs>
          <w:tab w:val="left" w:pos="993"/>
        </w:tabs>
        <w:spacing w:before="100" w:beforeAutospacing="1" w:after="100" w:afterAutospacing="1"/>
        <w:ind w:left="0" w:firstLine="567"/>
        <w:contextualSpacing/>
        <w:jc w:val="both"/>
        <w:rPr>
          <w:b/>
          <w:sz w:val="22"/>
          <w:szCs w:val="22"/>
        </w:rPr>
      </w:pPr>
      <w:r>
        <w:rPr>
          <w:b/>
          <w:color w:val="000000"/>
          <w:sz w:val="22"/>
          <w:szCs w:val="22"/>
        </w:rPr>
        <w:t xml:space="preserve">4.3. </w:t>
      </w:r>
      <w:r>
        <w:rPr>
          <w:b/>
          <w:sz w:val="22"/>
          <w:szCs w:val="22"/>
        </w:rPr>
        <w:t>Составление и получение Декларации Соответствия на 3 года</w:t>
      </w:r>
    </w:p>
    <w:p w:rsidR="00D912AC" w:rsidRDefault="00D912AC" w:rsidP="00D912AC">
      <w:pPr>
        <w:numPr>
          <w:ilvl w:val="0"/>
          <w:numId w:val="22"/>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присылает полное описание продукции и реквизиты конечного получателя Услуги</w:t>
      </w:r>
    </w:p>
    <w:p w:rsidR="00D912AC" w:rsidRDefault="00D912AC" w:rsidP="00D912AC">
      <w:pPr>
        <w:numPr>
          <w:ilvl w:val="0"/>
          <w:numId w:val="22"/>
        </w:numPr>
        <w:tabs>
          <w:tab w:val="left" w:pos="993"/>
        </w:tabs>
        <w:spacing w:before="100" w:beforeAutospacing="1" w:after="100" w:afterAutospacing="1"/>
        <w:ind w:left="0" w:firstLine="567"/>
        <w:contextualSpacing/>
        <w:jc w:val="both"/>
        <w:rPr>
          <w:sz w:val="22"/>
          <w:szCs w:val="22"/>
        </w:rPr>
      </w:pPr>
      <w:r>
        <w:rPr>
          <w:color w:val="000000"/>
          <w:sz w:val="22"/>
          <w:szCs w:val="22"/>
        </w:rPr>
        <w:t>Исполнитель подготавливает заявку для декларирования</w:t>
      </w:r>
    </w:p>
    <w:p w:rsidR="00D912AC" w:rsidRDefault="00D912AC" w:rsidP="00D912AC">
      <w:pPr>
        <w:numPr>
          <w:ilvl w:val="0"/>
          <w:numId w:val="22"/>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согласовывает заявку, подписывает ее и отправляет отсканированный электронный вариант Исполнителю</w:t>
      </w:r>
    </w:p>
    <w:p w:rsidR="00D912AC" w:rsidRDefault="00D912AC" w:rsidP="00D912AC">
      <w:pPr>
        <w:numPr>
          <w:ilvl w:val="0"/>
          <w:numId w:val="22"/>
        </w:numPr>
        <w:tabs>
          <w:tab w:val="left" w:pos="993"/>
        </w:tabs>
        <w:spacing w:before="100" w:beforeAutospacing="1" w:after="100" w:afterAutospacing="1"/>
        <w:ind w:left="0" w:firstLine="567"/>
        <w:contextualSpacing/>
        <w:jc w:val="both"/>
        <w:rPr>
          <w:sz w:val="22"/>
          <w:szCs w:val="22"/>
        </w:rPr>
      </w:pPr>
      <w:r>
        <w:rPr>
          <w:color w:val="000000"/>
          <w:sz w:val="22"/>
          <w:szCs w:val="22"/>
        </w:rPr>
        <w:lastRenderedPageBreak/>
        <w:t xml:space="preserve">Исполнитель на основании заявки готовит макет </w:t>
      </w:r>
      <w:r>
        <w:rPr>
          <w:sz w:val="22"/>
          <w:szCs w:val="22"/>
        </w:rPr>
        <w:t xml:space="preserve">Декларации </w:t>
      </w:r>
      <w:r>
        <w:rPr>
          <w:color w:val="000000"/>
          <w:sz w:val="22"/>
          <w:szCs w:val="22"/>
        </w:rPr>
        <w:t xml:space="preserve">и отправляет </w:t>
      </w:r>
      <w:r>
        <w:rPr>
          <w:sz w:val="22"/>
          <w:szCs w:val="22"/>
        </w:rPr>
        <w:t>Получателю услуги</w:t>
      </w:r>
      <w:r>
        <w:rPr>
          <w:color w:val="000000"/>
          <w:sz w:val="22"/>
          <w:szCs w:val="22"/>
        </w:rPr>
        <w:t xml:space="preserve"> на согласование</w:t>
      </w:r>
    </w:p>
    <w:p w:rsidR="00D912AC" w:rsidRPr="007E48C5" w:rsidRDefault="00D912AC" w:rsidP="00D912AC">
      <w:pPr>
        <w:numPr>
          <w:ilvl w:val="0"/>
          <w:numId w:val="22"/>
        </w:numPr>
        <w:tabs>
          <w:tab w:val="left" w:pos="993"/>
        </w:tabs>
        <w:spacing w:before="100" w:beforeAutospacing="1" w:after="100" w:afterAutospacing="1"/>
        <w:ind w:left="0" w:firstLine="567"/>
        <w:contextualSpacing/>
        <w:jc w:val="both"/>
        <w:rPr>
          <w:sz w:val="22"/>
          <w:szCs w:val="22"/>
        </w:rPr>
      </w:pPr>
      <w:r>
        <w:rPr>
          <w:sz w:val="22"/>
          <w:szCs w:val="22"/>
        </w:rPr>
        <w:t>Получатель услуги</w:t>
      </w:r>
      <w:r>
        <w:rPr>
          <w:color w:val="000000"/>
          <w:sz w:val="22"/>
          <w:szCs w:val="22"/>
        </w:rPr>
        <w:t xml:space="preserve"> согласовывает макет, подписывает его и отправляет </w:t>
      </w:r>
      <w:r w:rsidRPr="007E48C5">
        <w:rPr>
          <w:color w:val="000000"/>
          <w:sz w:val="22"/>
          <w:szCs w:val="22"/>
        </w:rPr>
        <w:t>отсканированный электронный вариант Исполнителю</w:t>
      </w:r>
    </w:p>
    <w:p w:rsidR="00D912AC" w:rsidRPr="007E48C5" w:rsidRDefault="00D912AC" w:rsidP="00D912AC">
      <w:pPr>
        <w:numPr>
          <w:ilvl w:val="0"/>
          <w:numId w:val="22"/>
        </w:numPr>
        <w:tabs>
          <w:tab w:val="left" w:pos="993"/>
        </w:tabs>
        <w:spacing w:before="100" w:beforeAutospacing="1" w:after="100" w:afterAutospacing="1"/>
        <w:ind w:left="0" w:firstLine="567"/>
        <w:contextualSpacing/>
        <w:jc w:val="both"/>
        <w:rPr>
          <w:sz w:val="22"/>
          <w:szCs w:val="22"/>
        </w:rPr>
      </w:pPr>
      <w:r w:rsidRPr="007E48C5">
        <w:rPr>
          <w:sz w:val="22"/>
          <w:szCs w:val="22"/>
        </w:rPr>
        <w:t xml:space="preserve">Исполнитель распечатывает Декларацию </w:t>
      </w:r>
      <w:r w:rsidRPr="007E48C5">
        <w:rPr>
          <w:color w:val="000000"/>
          <w:sz w:val="22"/>
          <w:szCs w:val="22"/>
        </w:rPr>
        <w:t xml:space="preserve">и отправляет отсканированный электронный вариант </w:t>
      </w:r>
      <w:r w:rsidRPr="007E48C5">
        <w:rPr>
          <w:sz w:val="22"/>
          <w:szCs w:val="22"/>
        </w:rPr>
        <w:t>Получателю услуги</w:t>
      </w:r>
    </w:p>
    <w:p w:rsidR="00D912AC" w:rsidRPr="007E48C5" w:rsidRDefault="00D912AC" w:rsidP="00D912AC">
      <w:pPr>
        <w:pStyle w:val="a6"/>
        <w:ind w:firstLine="567"/>
        <w:jc w:val="both"/>
        <w:rPr>
          <w:rFonts w:ascii="Times New Roman" w:eastAsia="Times New Roman" w:hAnsi="Times New Roman"/>
          <w:b/>
        </w:rPr>
      </w:pPr>
      <w:r w:rsidRPr="007E48C5">
        <w:rPr>
          <w:rFonts w:ascii="Times New Roman" w:hAnsi="Times New Roman"/>
          <w:b/>
        </w:rPr>
        <w:t>5. Исполнитель передает Заказчику и Получателю услуги</w:t>
      </w:r>
      <w:r w:rsidRPr="007E48C5">
        <w:rPr>
          <w:rFonts w:ascii="Times New Roman" w:hAnsi="Times New Roman"/>
          <w:b/>
          <w:lang w:eastAsia="ru-RU"/>
        </w:rPr>
        <w:t xml:space="preserve"> </w:t>
      </w:r>
      <w:r w:rsidRPr="007E48C5">
        <w:rPr>
          <w:rFonts w:ascii="Times New Roman" w:hAnsi="Times New Roman"/>
          <w:b/>
        </w:rPr>
        <w:t>следующую документацию:</w:t>
      </w:r>
    </w:p>
    <w:p w:rsidR="00D912AC" w:rsidRPr="007E48C5" w:rsidRDefault="00D912AC" w:rsidP="00D912AC">
      <w:pPr>
        <w:pStyle w:val="a6"/>
        <w:numPr>
          <w:ilvl w:val="0"/>
          <w:numId w:val="23"/>
        </w:numPr>
        <w:ind w:left="0" w:firstLine="567"/>
        <w:rPr>
          <w:rFonts w:ascii="Times New Roman" w:hAnsi="Times New Roman"/>
        </w:rPr>
      </w:pPr>
      <w:r w:rsidRPr="007E48C5">
        <w:rPr>
          <w:rFonts w:ascii="Times New Roman" w:hAnsi="Times New Roman"/>
        </w:rPr>
        <w:t>Акт об оказанных услугах;</w:t>
      </w:r>
    </w:p>
    <w:p w:rsidR="00D912AC" w:rsidRPr="007E48C5" w:rsidRDefault="00D912AC" w:rsidP="00D912AC">
      <w:pPr>
        <w:pStyle w:val="a6"/>
        <w:numPr>
          <w:ilvl w:val="0"/>
          <w:numId w:val="23"/>
        </w:numPr>
        <w:ind w:left="0" w:firstLine="567"/>
        <w:rPr>
          <w:rFonts w:ascii="Times New Roman" w:hAnsi="Times New Roman"/>
        </w:rPr>
      </w:pPr>
      <w:r w:rsidRPr="007E48C5">
        <w:rPr>
          <w:rFonts w:ascii="Times New Roman" w:hAnsi="Times New Roman"/>
        </w:rPr>
        <w:t>Оригинал Деклараций сроком на 3года</w:t>
      </w:r>
    </w:p>
    <w:p w:rsidR="00D912AC" w:rsidRPr="007E48C5" w:rsidRDefault="00D912AC" w:rsidP="00D912AC">
      <w:pPr>
        <w:pStyle w:val="a6"/>
        <w:numPr>
          <w:ilvl w:val="0"/>
          <w:numId w:val="23"/>
        </w:numPr>
        <w:ind w:left="0" w:firstLine="567"/>
        <w:rPr>
          <w:rFonts w:ascii="Times New Roman" w:hAnsi="Times New Roman"/>
        </w:rPr>
      </w:pPr>
      <w:r w:rsidRPr="007E48C5">
        <w:rPr>
          <w:rFonts w:ascii="Times New Roman" w:hAnsi="Times New Roman"/>
        </w:rPr>
        <w:t>Технические условия</w:t>
      </w:r>
    </w:p>
    <w:p w:rsidR="00D912AC" w:rsidRPr="007E48C5" w:rsidRDefault="00D912AC" w:rsidP="00D912AC">
      <w:pPr>
        <w:numPr>
          <w:ilvl w:val="1"/>
          <w:numId w:val="24"/>
        </w:numPr>
        <w:tabs>
          <w:tab w:val="left" w:pos="993"/>
          <w:tab w:val="left" w:pos="1134"/>
        </w:tabs>
        <w:spacing w:before="100" w:beforeAutospacing="1" w:after="100" w:afterAutospacing="1"/>
        <w:ind w:left="0" w:firstLine="567"/>
        <w:contextualSpacing/>
        <w:jc w:val="both"/>
        <w:rPr>
          <w:bCs/>
          <w:sz w:val="22"/>
          <w:szCs w:val="22"/>
        </w:rPr>
      </w:pPr>
      <w:r w:rsidRPr="007E48C5">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D912AC" w:rsidRPr="007E48C5" w:rsidRDefault="00D912AC" w:rsidP="00D912AC">
      <w:pPr>
        <w:numPr>
          <w:ilvl w:val="1"/>
          <w:numId w:val="24"/>
        </w:numPr>
        <w:tabs>
          <w:tab w:val="left" w:pos="993"/>
          <w:tab w:val="left" w:pos="1134"/>
          <w:tab w:val="left" w:pos="1276"/>
        </w:tabs>
        <w:spacing w:before="100" w:beforeAutospacing="1" w:after="100" w:afterAutospacing="1"/>
        <w:ind w:left="0" w:firstLine="567"/>
        <w:contextualSpacing/>
        <w:jc w:val="both"/>
        <w:rPr>
          <w:sz w:val="22"/>
          <w:szCs w:val="22"/>
        </w:rPr>
      </w:pPr>
      <w:r w:rsidRPr="007E48C5">
        <w:rPr>
          <w:sz w:val="22"/>
          <w:szCs w:val="22"/>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D912AC" w:rsidRPr="007E48C5" w:rsidRDefault="00D912AC" w:rsidP="00D912AC">
      <w:pPr>
        <w:numPr>
          <w:ilvl w:val="1"/>
          <w:numId w:val="24"/>
        </w:numPr>
        <w:tabs>
          <w:tab w:val="left" w:pos="993"/>
          <w:tab w:val="left" w:pos="1134"/>
        </w:tabs>
        <w:spacing w:before="100" w:beforeAutospacing="1" w:after="100" w:afterAutospacing="1"/>
        <w:ind w:left="0" w:firstLine="567"/>
        <w:contextualSpacing/>
        <w:jc w:val="both"/>
        <w:outlineLvl w:val="0"/>
        <w:rPr>
          <w:bCs/>
          <w:sz w:val="22"/>
          <w:szCs w:val="22"/>
        </w:rPr>
      </w:pPr>
      <w:r w:rsidRPr="007E48C5">
        <w:rPr>
          <w:bCs/>
          <w:sz w:val="22"/>
          <w:szCs w:val="22"/>
        </w:rPr>
        <w:t xml:space="preserve">Место предоставления отчетных документов: </w:t>
      </w:r>
      <w:proofErr w:type="gramStart"/>
      <w:r w:rsidRPr="007E48C5">
        <w:rPr>
          <w:bCs/>
          <w:sz w:val="22"/>
          <w:szCs w:val="22"/>
        </w:rPr>
        <w:t>г</w:t>
      </w:r>
      <w:proofErr w:type="gramEnd"/>
      <w:r w:rsidRPr="007E48C5">
        <w:rPr>
          <w:bCs/>
          <w:sz w:val="22"/>
          <w:szCs w:val="22"/>
        </w:rPr>
        <w:t>. Улан-Удэ, ул. Смолина, 65.</w:t>
      </w:r>
    </w:p>
    <w:p w:rsidR="00974326" w:rsidRPr="007E48C5" w:rsidRDefault="00974326" w:rsidP="00974326">
      <w:pPr>
        <w:tabs>
          <w:tab w:val="left" w:pos="0"/>
        </w:tabs>
        <w:spacing w:line="300" w:lineRule="auto"/>
        <w:ind w:firstLine="567"/>
        <w:jc w:val="right"/>
        <w:rPr>
          <w:sz w:val="20"/>
          <w:szCs w:val="20"/>
        </w:rPr>
      </w:pPr>
    </w:p>
    <w:sectPr w:rsidR="00974326" w:rsidRPr="007E48C5"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065C28"/>
    <w:multiLevelType w:val="hybridMultilevel"/>
    <w:tmpl w:val="7A080BB0"/>
    <w:lvl w:ilvl="0" w:tplc="04190001">
      <w:start w:val="1"/>
      <w:numFmt w:val="bullet"/>
      <w:lvlText w:val=""/>
      <w:lvlJc w:val="left"/>
      <w:pPr>
        <w:ind w:left="1353"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nsid w:val="4D450963"/>
    <w:multiLevelType w:val="hybridMultilevel"/>
    <w:tmpl w:val="7C2AB4A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nsid w:val="6CD04796"/>
    <w:multiLevelType w:val="multilevel"/>
    <w:tmpl w:val="A4A03E32"/>
    <w:lvl w:ilvl="0">
      <w:start w:val="4"/>
      <w:numFmt w:val="decimal"/>
      <w:lvlText w:val="%1."/>
      <w:lvlJc w:val="left"/>
      <w:pPr>
        <w:ind w:left="720" w:hanging="360"/>
      </w:pPr>
    </w:lvl>
    <w:lvl w:ilvl="1">
      <w:start w:val="6"/>
      <w:numFmt w:val="decimal"/>
      <w:lvlText w:val="%2."/>
      <w:lvlJc w:val="left"/>
      <w:pPr>
        <w:ind w:left="786"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4"/>
  </w:num>
  <w:num w:numId="2">
    <w:abstractNumId w:val="16"/>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2"/>
  </w:num>
  <w:num w:numId="13">
    <w:abstractNumId w:val="19"/>
  </w:num>
  <w:num w:numId="14">
    <w:abstractNumId w:val="6"/>
  </w:num>
  <w:num w:numId="15">
    <w:abstractNumId w:val="0"/>
    <w:lvlOverride w:ilvl="0">
      <w:startOverride w:val="1"/>
    </w:lvlOverride>
  </w:num>
  <w:num w:numId="16">
    <w:abstractNumId w:val="21"/>
  </w:num>
  <w:num w:numId="17">
    <w:abstractNumId w:val="4"/>
  </w:num>
  <w:num w:numId="18">
    <w:abstractNumId w:val="3"/>
  </w:num>
  <w:num w:numId="19">
    <w:abstractNumId w:val="1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C951E1"/>
    <w:rsid w:val="00007966"/>
    <w:rsid w:val="000451C8"/>
    <w:rsid w:val="00062CE2"/>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62347"/>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C3E2E"/>
    <w:rsid w:val="007D14C8"/>
    <w:rsid w:val="007D2A0B"/>
    <w:rsid w:val="007D53AB"/>
    <w:rsid w:val="007E48C5"/>
    <w:rsid w:val="0083360B"/>
    <w:rsid w:val="00864623"/>
    <w:rsid w:val="00880DD3"/>
    <w:rsid w:val="008B450D"/>
    <w:rsid w:val="008B59B7"/>
    <w:rsid w:val="008C5C32"/>
    <w:rsid w:val="008F02F8"/>
    <w:rsid w:val="00904A44"/>
    <w:rsid w:val="00940A15"/>
    <w:rsid w:val="00954632"/>
    <w:rsid w:val="00970C56"/>
    <w:rsid w:val="00974326"/>
    <w:rsid w:val="009F19DC"/>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5B8B"/>
    <w:rsid w:val="00C776DB"/>
    <w:rsid w:val="00C80C20"/>
    <w:rsid w:val="00C951E1"/>
    <w:rsid w:val="00CA47FA"/>
    <w:rsid w:val="00D8622F"/>
    <w:rsid w:val="00D912AC"/>
    <w:rsid w:val="00DD23C4"/>
    <w:rsid w:val="00DD3F80"/>
    <w:rsid w:val="00DE6CC8"/>
    <w:rsid w:val="00E01303"/>
    <w:rsid w:val="00E12F12"/>
    <w:rsid w:val="00EC2CA9"/>
    <w:rsid w:val="00ED1E06"/>
    <w:rsid w:val="00EE2C36"/>
    <w:rsid w:val="00F07B36"/>
    <w:rsid w:val="00F33B5E"/>
    <w:rsid w:val="00F349A1"/>
    <w:rsid w:val="00F65E58"/>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1344408">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konkursy/149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12</TotalTime>
  <Pages>17</Pages>
  <Words>6232</Words>
  <Characters>35526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8</cp:revision>
  <dcterms:created xsi:type="dcterms:W3CDTF">2023-06-28T03:18:00Z</dcterms:created>
  <dcterms:modified xsi:type="dcterms:W3CDTF">2023-06-30T05:28:00Z</dcterms:modified>
</cp:coreProperties>
</file>