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2CAA6094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  <w:r w:rsidR="00160477" w:rsidRPr="00434CF1">
        <w:rPr>
          <w:b/>
        </w:rPr>
        <w:t>202</w:t>
      </w:r>
      <w:r w:rsidR="00897F5D">
        <w:rPr>
          <w:b/>
        </w:rPr>
        <w:t>3</w:t>
      </w:r>
      <w:r w:rsidR="00160477" w:rsidRPr="00434CF1">
        <w:rPr>
          <w:b/>
        </w:rPr>
        <w:t>-</w:t>
      </w:r>
    </w:p>
    <w:p w14:paraId="0A0276BF" w14:textId="5FE5FF9D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международн</w:t>
      </w:r>
      <w:r w:rsidR="00AE48C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ых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бизнес-мисси</w:t>
      </w:r>
      <w:r w:rsidR="00AE48C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й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для субъектов малого и среднего предпринимательства Республики Бурятия в </w:t>
      </w:r>
      <w:r w:rsidR="002E312D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КНР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35801F5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Гылыпкылова</w:t>
      </w:r>
      <w:proofErr w:type="spellEnd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Руслана Юрьевича, действующего на основании доверенности №07-01/03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4A3511CB" w14:textId="77777777" w:rsidR="00897F5D" w:rsidRDefault="00756A85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</w:p>
    <w:p w14:paraId="30AA13A8" w14:textId="340F4E21" w:rsidR="00756A85" w:rsidRDefault="00756A85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>г., именуемый в дальнейшем «Исполнитель», с другой стороны,</w:t>
      </w:r>
    </w:p>
    <w:p w14:paraId="141C022F" w14:textId="5B2BC4A3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ЦЭ-2</w:t>
      </w:r>
      <w:r w:rsidR="002E312D">
        <w:t>3</w:t>
      </w:r>
      <w:r w:rsidR="000B4B01" w:rsidRPr="00434CF1">
        <w:t>г.</w:t>
      </w:r>
      <w:r w:rsidR="00973307" w:rsidRPr="00434CF1">
        <w:t xml:space="preserve">.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2145DFE9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3 (трёх)</w:t>
      </w:r>
      <w:r w:rsidR="004F75FD" w:rsidRPr="00434CF1">
        <w:t xml:space="preserve"> </w:t>
      </w:r>
      <w:bookmarkStart w:id="1" w:name="_Hlk97113670"/>
      <w:r w:rsidR="004F75FD" w:rsidRPr="00434CF1">
        <w:t>международн</w:t>
      </w:r>
      <w:r w:rsidR="00C81CD3" w:rsidRPr="00434CF1">
        <w:t>ых</w:t>
      </w:r>
      <w:r w:rsidR="004F75FD" w:rsidRPr="00434CF1">
        <w:t xml:space="preserve"> бизнес-мисси</w:t>
      </w:r>
      <w:r w:rsidR="00C81CD3" w:rsidRPr="00434CF1">
        <w:t>й</w:t>
      </w:r>
      <w:r w:rsidR="004F75FD" w:rsidRPr="00434CF1">
        <w:t xml:space="preserve"> для субъектов малого и среднего предпринимательства Республики Бурятия в </w:t>
      </w:r>
      <w:r w:rsidR="002E312D">
        <w:t>КНР</w:t>
      </w:r>
      <w:r w:rsidR="00973307" w:rsidRPr="00434CF1">
        <w:t>.</w:t>
      </w:r>
      <w:bookmarkEnd w:id="1"/>
    </w:p>
    <w:p w14:paraId="64856B36" w14:textId="02B48030" w:rsidR="00CF0F05" w:rsidRPr="00434CF1" w:rsidRDefault="00CF0F05" w:rsidP="00CF0F05">
      <w:pPr>
        <w:pStyle w:val="a9"/>
        <w:numPr>
          <w:ilvl w:val="0"/>
          <w:numId w:val="1"/>
        </w:numPr>
        <w:ind w:left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являющемся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61F15B1A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3</w:t>
      </w:r>
      <w:r w:rsidR="00AC3EDE">
        <w:t>0</w:t>
      </w:r>
      <w:r w:rsidR="00897F5D">
        <w:t>.</w:t>
      </w:r>
      <w:r w:rsidR="002E312D">
        <w:t>11</w:t>
      </w:r>
      <w:r w:rsidR="00897F5D">
        <w:t>.2023 г.</w:t>
      </w: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3725EE92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3 (трёх) международных бизнес-миссий для субъектов малого и среднего предпринимательства Республики Бурятия в </w:t>
      </w:r>
      <w:r w:rsidR="002E312D">
        <w:t>КНР</w:t>
      </w:r>
      <w:r w:rsidR="00FE3996" w:rsidRPr="00434CF1">
        <w:t xml:space="preserve"> 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873BECA" w14:textId="7653DD6F" w:rsidR="007938B5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Стоимость за 1 (одну) проведенную международную бизнес-миссию для субъектов малого и среднего предпринимательства Республики Бурятия в </w:t>
      </w:r>
      <w:r w:rsidR="002E312D">
        <w:t>КНР</w:t>
      </w:r>
      <w:r w:rsidRPr="00434CF1">
        <w:t xml:space="preserve"> составляет </w:t>
      </w:r>
      <w:r w:rsidR="00897F5D">
        <w:t>__________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434CF1"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lastRenderedPageBreak/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29A2CE96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2E312D">
        <w:rPr>
          <w:b/>
          <w:bCs/>
        </w:rPr>
        <w:t>29</w:t>
      </w:r>
      <w:r w:rsidR="00420D0C" w:rsidRPr="00434CF1">
        <w:rPr>
          <w:b/>
          <w:bCs/>
        </w:rPr>
        <w:t>.</w:t>
      </w:r>
      <w:r w:rsidR="00596AA5" w:rsidRPr="00434CF1">
        <w:rPr>
          <w:b/>
          <w:bCs/>
        </w:rPr>
        <w:t>12</w:t>
      </w:r>
      <w:r w:rsidR="00420D0C" w:rsidRPr="00434CF1">
        <w:rPr>
          <w:b/>
          <w:bCs/>
        </w:rPr>
        <w:t>.202</w:t>
      </w:r>
      <w:r w:rsidR="00AC3EDE">
        <w:rPr>
          <w:b/>
          <w:bCs/>
        </w:rPr>
        <w:t>3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2E732744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№07-01/03 от 10.01.2022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3CD2D02B" w14:textId="4DD4A7B8" w:rsidR="00C47A28" w:rsidRPr="00434CF1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международной бизнес-миссии</w:t>
      </w:r>
    </w:p>
    <w:p w14:paraId="1D897A68" w14:textId="7219999E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</w:t>
      </w:r>
      <w:r w:rsidR="002E312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КНР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(далее: «БМ» или «мероприятие»)</w:t>
      </w: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7E570AE7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2E312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КНР</w:t>
      </w:r>
    </w:p>
    <w:p w14:paraId="26B0A3EF" w14:textId="49A5FEA3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</w:t>
      </w:r>
      <w:r w:rsidR="002E312D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(по согласованию с Заказчиком)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:</w:t>
      </w:r>
    </w:p>
    <w:p w14:paraId="19597C7A" w14:textId="21844308" w:rsidR="00821890" w:rsidRPr="00434CF1" w:rsidRDefault="00EE38E0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ервая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2E312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– июль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="00A97D1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г., </w:t>
      </w:r>
    </w:p>
    <w:p w14:paraId="0E28E47F" w14:textId="4779D72F" w:rsidR="00821890" w:rsidRPr="00434CF1" w:rsidRDefault="00A97D19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вторая – а</w:t>
      </w:r>
      <w:r w:rsidR="002E312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вгуст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г., </w:t>
      </w:r>
    </w:p>
    <w:p w14:paraId="0BB7BE47" w14:textId="52CF84C0" w:rsidR="00A97D19" w:rsidRPr="00434CF1" w:rsidRDefault="00A97D19" w:rsidP="00EE38E0">
      <w:pPr>
        <w:pStyle w:val="a9"/>
        <w:ind w:left="709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третья – </w:t>
      </w:r>
      <w:r w:rsidR="002E312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сентябрь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202</w:t>
      </w:r>
      <w:r w:rsidR="000274B7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г.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4.4.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</w:p>
    <w:p w14:paraId="42ACDF28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3-х действующих субъектов МСП Республики Бурятия (далее: российские участники БМ). </w:t>
      </w:r>
    </w:p>
    <w:p w14:paraId="7CF9CC02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3CA2C9B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7777777" w:rsidR="00227103" w:rsidRPr="00434CF1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6. Требования к объему и качеству оказываемых услуг Исполнителем: </w:t>
      </w: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619"/>
        <w:gridCol w:w="2657"/>
        <w:gridCol w:w="7180"/>
      </w:tblGrid>
      <w:tr w:rsidR="00227103" w:rsidRPr="00434CF1" w14:paraId="487A46DE" w14:textId="77777777" w:rsidTr="00AE48CE">
        <w:tc>
          <w:tcPr>
            <w:tcW w:w="619" w:type="dxa"/>
          </w:tcPr>
          <w:p w14:paraId="526D938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2657" w:type="dxa"/>
          </w:tcPr>
          <w:p w14:paraId="50C08C5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180" w:type="dxa"/>
          </w:tcPr>
          <w:p w14:paraId="05D49C3B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Описание услуг, оказываемых Исполнителем</w:t>
            </w:r>
          </w:p>
        </w:tc>
      </w:tr>
      <w:tr w:rsidR="00227103" w:rsidRPr="00434CF1" w14:paraId="27B095E7" w14:textId="77777777" w:rsidTr="00AE48CE">
        <w:trPr>
          <w:trHeight w:val="1619"/>
        </w:trPr>
        <w:tc>
          <w:tcPr>
            <w:tcW w:w="619" w:type="dxa"/>
          </w:tcPr>
          <w:p w14:paraId="15FD9EC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</w:t>
            </w:r>
          </w:p>
        </w:tc>
        <w:tc>
          <w:tcPr>
            <w:tcW w:w="2657" w:type="dxa"/>
          </w:tcPr>
          <w:p w14:paraId="3DC0C987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180" w:type="dxa"/>
          </w:tcPr>
          <w:p w14:paraId="280011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6.1.1. Изучить профиль каждого российского участника БМ, его производимой продукции (услуг).</w:t>
            </w:r>
          </w:p>
          <w:p w14:paraId="25A61385" w14:textId="74D4A52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6.1.2.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</w:t>
            </w:r>
            <w:r w:rsidR="002E312D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(при наличии)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</w:t>
            </w:r>
          </w:p>
          <w:p w14:paraId="6F4791C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6.1.3. Изучить коммерческое предложение российского участника. </w:t>
            </w:r>
          </w:p>
        </w:tc>
      </w:tr>
      <w:tr w:rsidR="00227103" w:rsidRPr="00434CF1" w14:paraId="36AA9FA5" w14:textId="77777777" w:rsidTr="00AE48CE">
        <w:tc>
          <w:tcPr>
            <w:tcW w:w="619" w:type="dxa"/>
          </w:tcPr>
          <w:p w14:paraId="3C73764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6.2</w:t>
            </w:r>
          </w:p>
        </w:tc>
        <w:tc>
          <w:tcPr>
            <w:tcW w:w="2657" w:type="dxa"/>
          </w:tcPr>
          <w:p w14:paraId="348DD7A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Разработка, формирование и перевод коммерческого предложения</w:t>
            </w:r>
          </w:p>
        </w:tc>
        <w:tc>
          <w:tcPr>
            <w:tcW w:w="7180" w:type="dxa"/>
          </w:tcPr>
          <w:p w14:paraId="4096717D" w14:textId="28F5DBD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Сформировать или актуализировать коммерческое предложение в электронном виде для российских участников БМ 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на </w:t>
            </w:r>
            <w:r w:rsidR="002E312D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китайском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 xml:space="preserve"> язык</w:t>
            </w:r>
            <w:r w:rsidR="002E312D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е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.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</w:p>
          <w:p w14:paraId="668CAA1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3D6715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227103" w:rsidRPr="00434CF1" w14:paraId="5F066BD8" w14:textId="77777777" w:rsidTr="00AE48CE">
        <w:tc>
          <w:tcPr>
            <w:tcW w:w="619" w:type="dxa"/>
          </w:tcPr>
          <w:p w14:paraId="4ABB4C2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</w:t>
            </w:r>
          </w:p>
        </w:tc>
        <w:tc>
          <w:tcPr>
            <w:tcW w:w="2657" w:type="dxa"/>
          </w:tcPr>
          <w:p w14:paraId="0E64DAB2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180" w:type="dxa"/>
          </w:tcPr>
          <w:p w14:paraId="4E269B6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6.3.1.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3A25B0B7" w14:textId="2CFBD69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6.3.2. Достичь договоренности о проведении встреч не менее чем с 5 потенциальными интересантами для каждого российского участника БМ в целевой стране</w:t>
            </w:r>
            <w:r w:rsidR="0081297E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с выездами на предприятия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. </w:t>
            </w:r>
          </w:p>
          <w:p w14:paraId="52F9299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6.3.3. Согласовать время проведения встречи между участниками БМ. </w:t>
            </w:r>
          </w:p>
          <w:p w14:paraId="3BBD0F7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6.4.3. Сформировать Перечень участников БМ согласно Приложения №1 к Техническому заданию</w:t>
            </w:r>
          </w:p>
        </w:tc>
      </w:tr>
      <w:tr w:rsidR="00227103" w:rsidRPr="00434CF1" w14:paraId="746A9C47" w14:textId="77777777" w:rsidTr="00AE48CE">
        <w:tc>
          <w:tcPr>
            <w:tcW w:w="619" w:type="dxa"/>
          </w:tcPr>
          <w:p w14:paraId="146418BC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</w:t>
            </w:r>
          </w:p>
        </w:tc>
        <w:tc>
          <w:tcPr>
            <w:tcW w:w="2657" w:type="dxa"/>
          </w:tcPr>
          <w:p w14:paraId="5F15A0E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180" w:type="dxa"/>
          </w:tcPr>
          <w:p w14:paraId="5BCB08D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6.4.1.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171E5C0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02BC1B35" w14:textId="229A634C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- Круглый стол с участниками БМ</w:t>
            </w:r>
            <w:r w:rsidR="00B853B9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(по согласованию)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</w:t>
            </w:r>
          </w:p>
          <w:p w14:paraId="056C845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2F1EC1E6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 xml:space="preserve">-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34CF1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4A01646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32763F9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7D72566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6.4.3. Итоговая деловая программа должна быть согласована с Заказчиком.</w:t>
            </w:r>
          </w:p>
          <w:p w14:paraId="266A73E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6.4.4. Провести рассылку деловой программы участникам БМ.</w:t>
            </w:r>
          </w:p>
          <w:p w14:paraId="5CEC685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6.4.5.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БМ.</w:t>
            </w:r>
          </w:p>
        </w:tc>
      </w:tr>
      <w:tr w:rsidR="00227103" w:rsidRPr="00434CF1" w14:paraId="39835191" w14:textId="77777777" w:rsidTr="00AE48CE">
        <w:tc>
          <w:tcPr>
            <w:tcW w:w="619" w:type="dxa"/>
          </w:tcPr>
          <w:p w14:paraId="38FA3A1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6.5</w:t>
            </w:r>
          </w:p>
        </w:tc>
        <w:tc>
          <w:tcPr>
            <w:tcW w:w="2657" w:type="dxa"/>
          </w:tcPr>
          <w:p w14:paraId="72946125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180" w:type="dxa"/>
          </w:tcPr>
          <w:p w14:paraId="415FB6E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6.5.1. Организовать план перевозки (трансфер) участников БМ автомобильным транспортом (кроме такси):</w:t>
            </w:r>
          </w:p>
          <w:p w14:paraId="0FF7F26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прибытия в целевой стране до места размещения;</w:t>
            </w:r>
          </w:p>
          <w:p w14:paraId="361B9F14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к месту проведения мероприятий;</w:t>
            </w:r>
          </w:p>
          <w:p w14:paraId="5CB2A28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проведения мероприятий до места размещения;</w:t>
            </w:r>
          </w:p>
          <w:p w14:paraId="4C12BE5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до места вылета (выезда) из целевой страны.</w:t>
            </w:r>
          </w:p>
          <w:p w14:paraId="061D9FAD" w14:textId="44D213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6.5.2. Обеспечить каждому российскому участнику БМ индивидуальный трансфер</w:t>
            </w:r>
            <w:r w:rsidR="00821890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в соответствие </w:t>
            </w:r>
            <w:r w:rsidR="00821890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с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утвержденными индивидуальными деловыми программами.</w:t>
            </w:r>
          </w:p>
        </w:tc>
      </w:tr>
      <w:tr w:rsidR="00227103" w:rsidRPr="00434CF1" w14:paraId="023B7F07" w14:textId="77777777" w:rsidTr="00AE48CE">
        <w:tc>
          <w:tcPr>
            <w:tcW w:w="619" w:type="dxa"/>
          </w:tcPr>
          <w:p w14:paraId="7DDCF779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</w:t>
            </w:r>
          </w:p>
        </w:tc>
        <w:tc>
          <w:tcPr>
            <w:tcW w:w="2657" w:type="dxa"/>
          </w:tcPr>
          <w:p w14:paraId="210EC7F5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Аренда помещения и оборудования для проведения переговоров</w:t>
            </w:r>
          </w:p>
        </w:tc>
        <w:tc>
          <w:tcPr>
            <w:tcW w:w="7180" w:type="dxa"/>
          </w:tcPr>
          <w:p w14:paraId="4F19C42A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6.6.1. Арендовать помещение и оборудование для переговоров.</w:t>
            </w:r>
          </w:p>
          <w:p w14:paraId="2A876802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6.6.2. Помещение должно быть обеспечено следующим минимальным инвентарем:</w:t>
            </w:r>
          </w:p>
          <w:p w14:paraId="27ADEC05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Мебель (стулья, столы).</w:t>
            </w:r>
          </w:p>
          <w:p w14:paraId="564446B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Аудиоаппаратура (микрофоны, звуковые колонки).</w:t>
            </w:r>
          </w:p>
          <w:p w14:paraId="145AD971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Ноутбук, проектор, экраны для трансляции презентаций.</w:t>
            </w:r>
          </w:p>
          <w:p w14:paraId="7C548589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Беспроводной доступ в Интернет.</w:t>
            </w:r>
          </w:p>
          <w:p w14:paraId="2E8D6A80" w14:textId="53D0438F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6.6.3. Минимальная вместимость помещения: в помещении должно комфортно размещаться до 30 человек.</w:t>
            </w:r>
          </w:p>
        </w:tc>
      </w:tr>
      <w:tr w:rsidR="00227103" w:rsidRPr="00434CF1" w14:paraId="2FA6A670" w14:textId="77777777" w:rsidTr="00AE48CE">
        <w:trPr>
          <w:trHeight w:val="2808"/>
        </w:trPr>
        <w:tc>
          <w:tcPr>
            <w:tcW w:w="619" w:type="dxa"/>
          </w:tcPr>
          <w:p w14:paraId="3F84F0C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</w:t>
            </w:r>
          </w:p>
        </w:tc>
        <w:tc>
          <w:tcPr>
            <w:tcW w:w="2657" w:type="dxa"/>
          </w:tcPr>
          <w:p w14:paraId="6A16F0B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7180" w:type="dxa"/>
          </w:tcPr>
          <w:p w14:paraId="0D1CAFB0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6.7.1. Организовать явку и регистрацию участников БМ на переговорах согласно деловой программе БМ;</w:t>
            </w:r>
          </w:p>
          <w:p w14:paraId="208CB04E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6.7.2. Обеспечение проведения Круглого стола с участниками БМ.</w:t>
            </w:r>
          </w:p>
          <w:p w14:paraId="5054711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6.7.3. Обеспечение проведения индивидуальных встреч (B2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03A92B39" w14:textId="199E672B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</w:t>
            </w:r>
            <w:r w:rsidR="0081297E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– не менее 5 компаний для каждого российского участника БМ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</w:t>
            </w:r>
          </w:p>
          <w:p w14:paraId="528411AB" w14:textId="4B0CE04F" w:rsidR="00B853B9" w:rsidRPr="00434CF1" w:rsidRDefault="00B853B9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6.7.5. Модерация переговоров</w:t>
            </w:r>
            <w:r w:rsidR="000B0C82"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в соответствие с индивидуальными деловыми программами российских участников БМ.</w:t>
            </w:r>
          </w:p>
        </w:tc>
      </w:tr>
      <w:tr w:rsidR="00227103" w:rsidRPr="00434CF1" w14:paraId="53A95A67" w14:textId="77777777" w:rsidTr="00AE48CE">
        <w:trPr>
          <w:trHeight w:val="1477"/>
        </w:trPr>
        <w:tc>
          <w:tcPr>
            <w:tcW w:w="619" w:type="dxa"/>
          </w:tcPr>
          <w:p w14:paraId="274BDDF2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</w:t>
            </w:r>
          </w:p>
        </w:tc>
        <w:tc>
          <w:tcPr>
            <w:tcW w:w="2657" w:type="dxa"/>
          </w:tcPr>
          <w:p w14:paraId="248E5CCA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180" w:type="dxa"/>
          </w:tcPr>
          <w:p w14:paraId="048A7CFD" w14:textId="49624826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6.8.1. Привлечь переводчиков с </w:t>
            </w:r>
            <w:r w:rsidR="00AE48CE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китайского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языка на русский язык и обратного перевода на все время проведения БМ.</w:t>
            </w:r>
          </w:p>
          <w:p w14:paraId="4FE9B3F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6.8.2.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227103" w:rsidRPr="00434CF1" w14:paraId="6782DDAF" w14:textId="77777777" w:rsidTr="00AE48CE">
        <w:tc>
          <w:tcPr>
            <w:tcW w:w="619" w:type="dxa"/>
          </w:tcPr>
          <w:p w14:paraId="22FDF53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6.9</w:t>
            </w:r>
          </w:p>
        </w:tc>
        <w:tc>
          <w:tcPr>
            <w:tcW w:w="2657" w:type="dxa"/>
          </w:tcPr>
          <w:p w14:paraId="03B40F2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Обеспечение заключения 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внешнеторговых контрактов участниками БМ в рамках проведения БМ</w:t>
            </w:r>
          </w:p>
        </w:tc>
        <w:tc>
          <w:tcPr>
            <w:tcW w:w="7180" w:type="dxa"/>
          </w:tcPr>
          <w:p w14:paraId="2DB50C8D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lastRenderedPageBreak/>
              <w:t xml:space="preserve">6.9.1. Обеспечить минимальную конверсию при заключении внешнеторговых контрактов между участниками БМ в количестве не </w:t>
            </w: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lastRenderedPageBreak/>
              <w:t>менее 25% от количества организаций – субъектов МСП Республики Бурятия (округляется в большую сторону).</w:t>
            </w:r>
          </w:p>
          <w:p w14:paraId="0221D8B2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Проект контракта должен быть согласован с Заказчиком.</w:t>
            </w:r>
          </w:p>
        </w:tc>
      </w:tr>
      <w:tr w:rsidR="00227103" w:rsidRPr="00434CF1" w14:paraId="12F3EF87" w14:textId="77777777" w:rsidTr="00AE48CE">
        <w:trPr>
          <w:trHeight w:val="2831"/>
        </w:trPr>
        <w:tc>
          <w:tcPr>
            <w:tcW w:w="619" w:type="dxa"/>
          </w:tcPr>
          <w:p w14:paraId="227F652F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6.10</w:t>
            </w:r>
          </w:p>
        </w:tc>
        <w:tc>
          <w:tcPr>
            <w:tcW w:w="2657" w:type="dxa"/>
          </w:tcPr>
          <w:p w14:paraId="0C59880E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Дополнительные требования</w:t>
            </w:r>
          </w:p>
        </w:tc>
        <w:tc>
          <w:tcPr>
            <w:tcW w:w="7180" w:type="dxa"/>
          </w:tcPr>
          <w:p w14:paraId="61C53B9A" w14:textId="6CE8ACA4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6.10.1. Обеспечить регистрацию участников в Личном кабинете АО «РЭЦ» на сайте </w:t>
            </w:r>
            <w:hyperlink r:id="rId9" w:history="1">
              <w:r w:rsidRPr="00434CF1">
                <w:rPr>
                  <w:rFonts w:ascii="Times New Roman" w:eastAsiaTheme="minorHAnsi" w:hAnsi="Times New Roman" w:cs="Times New Roman"/>
                  <w:b/>
                  <w:bCs/>
                  <w:color w:val="auto"/>
                  <w:sz w:val="23"/>
                  <w:szCs w:val="23"/>
                  <w:lang w:eastAsia="en-US"/>
                </w:rPr>
                <w:t>https://www.exportcenter.ru/</w:t>
              </w:r>
            </w:hyperlink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и Портале «Мой экспорт» на сайте </w:t>
            </w:r>
            <w:r w:rsidRPr="00434CF1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https://myexport.exportcenter.ru</w:t>
            </w: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668C7DD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6.10.1.1. Обеспечить получение следующих продуктов АО «РЭЦ»: </w:t>
            </w:r>
          </w:p>
          <w:p w14:paraId="36C403A9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Продукт «Проект экспортного контракта на поставку товаров» по реферальной ссылке (реферальная ссылка предоставляется Заказчиком)</w:t>
            </w:r>
          </w:p>
          <w:p w14:paraId="18CD357A" w14:textId="1D6942AD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</w:t>
            </w:r>
            <w:r w:rsidR="00AE48CE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любой продукт по согласованию с Заказчиком.</w:t>
            </w:r>
          </w:p>
          <w:p w14:paraId="13893CF3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 xml:space="preserve">6.10.1.2.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227103" w:rsidRPr="00434CF1" w14:paraId="7614780F" w14:textId="77777777" w:rsidTr="00AE48CE">
        <w:trPr>
          <w:trHeight w:val="2537"/>
        </w:trPr>
        <w:tc>
          <w:tcPr>
            <w:tcW w:w="619" w:type="dxa"/>
          </w:tcPr>
          <w:p w14:paraId="3338B8D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6.11</w:t>
            </w:r>
          </w:p>
        </w:tc>
        <w:tc>
          <w:tcPr>
            <w:tcW w:w="2657" w:type="dxa"/>
          </w:tcPr>
          <w:p w14:paraId="22176BFE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7180" w:type="dxa"/>
          </w:tcPr>
          <w:p w14:paraId="7796B3F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6.11.1.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6B8393AD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6.11.2.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31C5387A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6.11.3. Отчет предоставляется Заказчику в электронном виде (формат .</w:t>
            </w:r>
            <w:proofErr w:type="spellStart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pdf</w:t>
            </w:r>
            <w:proofErr w:type="spellEnd"/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227103" w:rsidRPr="00434CF1" w14:paraId="48C6155B" w14:textId="77777777" w:rsidTr="00AE48CE">
        <w:trPr>
          <w:trHeight w:val="4387"/>
        </w:trPr>
        <w:tc>
          <w:tcPr>
            <w:tcW w:w="619" w:type="dxa"/>
          </w:tcPr>
          <w:p w14:paraId="0A4ECC31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6.12</w:t>
            </w:r>
          </w:p>
        </w:tc>
        <w:tc>
          <w:tcPr>
            <w:tcW w:w="2657" w:type="dxa"/>
          </w:tcPr>
          <w:p w14:paraId="0BFC2748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180" w:type="dxa"/>
          </w:tcPr>
          <w:p w14:paraId="637BA07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6.12.1. Исполнителю необходимо предоставить отчетные документы о мероприятии, включающие:</w:t>
            </w:r>
          </w:p>
          <w:p w14:paraId="18C7CE9F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- Письменный отчет о проведенном мероприятии в соответствии с требованиями п.6.11 ТЗ; </w:t>
            </w:r>
          </w:p>
          <w:p w14:paraId="444E77FD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115DF0AA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434CF1">
                <w:rPr>
                  <w:rFonts w:ascii="Times New Roman" w:eastAsiaTheme="minorHAnsi" w:hAnsi="Times New Roman" w:cs="Times New Roman"/>
                  <w:sz w:val="23"/>
                  <w:szCs w:val="23"/>
                  <w:lang w:eastAsia="en-US"/>
                </w:rPr>
                <w:t>https://www.exportcenter.ru/</w:t>
              </w:r>
            </w:hyperlink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 и Портале «Мой экспорт» на сайте https://myexport.exportcenter.ru. </w:t>
            </w:r>
          </w:p>
          <w:p w14:paraId="5BE675BC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Итоговая деловая программа участников БМ;</w:t>
            </w:r>
          </w:p>
          <w:p w14:paraId="333F8E2E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- План перевозки (трансфера) участников БМ;</w:t>
            </w:r>
          </w:p>
          <w:p w14:paraId="283E4F3B" w14:textId="77777777" w:rsidR="00227103" w:rsidRPr="00434CF1" w:rsidRDefault="00227103" w:rsidP="007C6701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- Заключенные внешнеторговые контракты </w:t>
            </w:r>
            <w:r w:rsidRPr="00434CF1">
              <w:rPr>
                <w:rFonts w:ascii="Times New Roman" w:eastAsiaTheme="minorHAnsi" w:hAnsi="Times New Roman"/>
                <w:b/>
                <w:bCs/>
                <w:sz w:val="23"/>
                <w:szCs w:val="23"/>
              </w:rPr>
              <w:t>в количестве не менее 25% от количества организаций – субъектов МСП Республики Бурятия (округляется в большую сторону);</w:t>
            </w:r>
          </w:p>
          <w:p w14:paraId="79726013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33DCAA58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Видео на флэш-носителе. </w:t>
            </w:r>
          </w:p>
          <w:p w14:paraId="337FCC1C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227103" w:rsidRPr="00434CF1" w14:paraId="645DEAE4" w14:textId="77777777" w:rsidTr="00AE48CE">
        <w:trPr>
          <w:trHeight w:val="3200"/>
        </w:trPr>
        <w:tc>
          <w:tcPr>
            <w:tcW w:w="619" w:type="dxa"/>
          </w:tcPr>
          <w:p w14:paraId="722E0CF6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6.13</w:t>
            </w:r>
          </w:p>
        </w:tc>
        <w:tc>
          <w:tcPr>
            <w:tcW w:w="2657" w:type="dxa"/>
          </w:tcPr>
          <w:p w14:paraId="6BB42F74" w14:textId="77777777" w:rsidR="00227103" w:rsidRPr="00434CF1" w:rsidRDefault="00227103" w:rsidP="007C6701">
            <w:pPr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Дополнительные требования</w:t>
            </w:r>
          </w:p>
        </w:tc>
        <w:tc>
          <w:tcPr>
            <w:tcW w:w="7180" w:type="dxa"/>
          </w:tcPr>
          <w:p w14:paraId="7A8D592B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6.13.1.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1BA2B358" w14:textId="77777777" w:rsidR="00227103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434CF1">
              <w:rPr>
                <w:rFonts w:ascii="Times New Roman" w:eastAsiaTheme="minorHAnsi" w:hAnsi="Times New Roman"/>
                <w:sz w:val="23"/>
                <w:szCs w:val="23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0BAC2D2A" w14:textId="61B6EB43" w:rsidR="00AE48CE" w:rsidRPr="00434CF1" w:rsidRDefault="00AE48CE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F07196">
              <w:rPr>
                <w:rFonts w:ascii="Times New Roman" w:hAnsi="Times New Roman"/>
                <w:b/>
                <w:bCs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4BC70006" w14:textId="77777777" w:rsidR="00227103" w:rsidRPr="00434CF1" w:rsidRDefault="00227103" w:rsidP="007C6701">
            <w:pPr>
              <w:pStyle w:val="af2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</w:p>
          <w:p w14:paraId="2C58C3D7" w14:textId="77777777" w:rsidR="00227103" w:rsidRPr="00434CF1" w:rsidRDefault="00227103" w:rsidP="007C6701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6.13.2.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12029FBE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7.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323FDE0A" w14:textId="1E265438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8.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p w14:paraId="63AF98E8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0E0F05AD" w14:textId="673A7CC6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№07-01/03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6150BC0C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9C8EE1A" w14:textId="276A128B" w:rsidR="00124EDF" w:rsidRPr="00434CF1" w:rsidRDefault="00124EDF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244A849E" w14:textId="156E769C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77777777" w:rsidR="00F60B29" w:rsidRPr="00434CF1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F60B29" w:rsidRPr="00434CF1" w:rsidSect="00AE48CE">
      <w:type w:val="continuous"/>
      <w:pgSz w:w="11906" w:h="16838"/>
      <w:pgMar w:top="851" w:right="851" w:bottom="993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967CB7F4"/>
    <w:lvl w:ilvl="0" w:tplc="A0D6CC1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D4CB3"/>
    <w:rsid w:val="002E17F0"/>
    <w:rsid w:val="002E312D"/>
    <w:rsid w:val="002F1077"/>
    <w:rsid w:val="002F278C"/>
    <w:rsid w:val="002F4C17"/>
    <w:rsid w:val="003041D1"/>
    <w:rsid w:val="00304B56"/>
    <w:rsid w:val="0030699C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CF1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56A85"/>
    <w:rsid w:val="0076542B"/>
    <w:rsid w:val="0077242B"/>
    <w:rsid w:val="00774F6A"/>
    <w:rsid w:val="0078601C"/>
    <w:rsid w:val="007868EE"/>
    <w:rsid w:val="00792D0E"/>
    <w:rsid w:val="007938B5"/>
    <w:rsid w:val="00795951"/>
    <w:rsid w:val="007A4F93"/>
    <w:rsid w:val="007B773F"/>
    <w:rsid w:val="007C2A24"/>
    <w:rsid w:val="007C6701"/>
    <w:rsid w:val="007D75E1"/>
    <w:rsid w:val="007E28B2"/>
    <w:rsid w:val="007E7568"/>
    <w:rsid w:val="008062C9"/>
    <w:rsid w:val="0081297E"/>
    <w:rsid w:val="00815F08"/>
    <w:rsid w:val="0082126D"/>
    <w:rsid w:val="00821890"/>
    <w:rsid w:val="00833182"/>
    <w:rsid w:val="00835843"/>
    <w:rsid w:val="00836B0F"/>
    <w:rsid w:val="008629E3"/>
    <w:rsid w:val="00897F5D"/>
    <w:rsid w:val="008A2034"/>
    <w:rsid w:val="008A3314"/>
    <w:rsid w:val="008D754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97D19"/>
    <w:rsid w:val="00AA4AA3"/>
    <w:rsid w:val="00AA656D"/>
    <w:rsid w:val="00AB3E8D"/>
    <w:rsid w:val="00AB3F23"/>
    <w:rsid w:val="00AC1150"/>
    <w:rsid w:val="00AC3EDE"/>
    <w:rsid w:val="00AD3A7F"/>
    <w:rsid w:val="00AD4626"/>
    <w:rsid w:val="00AD6525"/>
    <w:rsid w:val="00AE48CE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CF0F05"/>
    <w:rsid w:val="00D070FC"/>
    <w:rsid w:val="00D16D0F"/>
    <w:rsid w:val="00D20157"/>
    <w:rsid w:val="00D269B0"/>
    <w:rsid w:val="00D301C2"/>
    <w:rsid w:val="00D350AF"/>
    <w:rsid w:val="00D457A1"/>
    <w:rsid w:val="00D52727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6470</TotalTime>
  <Pages>10</Pages>
  <Words>3677</Words>
  <Characters>20962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172</cp:revision>
  <cp:lastPrinted>2023-02-28T09:23:00Z</cp:lastPrinted>
  <dcterms:created xsi:type="dcterms:W3CDTF">2019-03-20T03:20:00Z</dcterms:created>
  <dcterms:modified xsi:type="dcterms:W3CDTF">2023-05-16T07:35:00Z</dcterms:modified>
</cp:coreProperties>
</file>