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0F8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6096665D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04E1E9B0" w14:textId="0E281BD4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9148F2">
        <w:rPr>
          <w:b/>
          <w:sz w:val="24"/>
          <w:szCs w:val="24"/>
        </w:rPr>
        <w:t>04-14/87</w:t>
      </w:r>
      <w:r w:rsidRPr="00F9486B">
        <w:rPr>
          <w:b/>
          <w:sz w:val="24"/>
          <w:szCs w:val="24"/>
        </w:rPr>
        <w:t xml:space="preserve"> от </w:t>
      </w:r>
      <w:r w:rsidR="009148F2">
        <w:rPr>
          <w:b/>
          <w:sz w:val="24"/>
          <w:szCs w:val="24"/>
        </w:rPr>
        <w:t>21.07.2025</w:t>
      </w:r>
    </w:p>
    <w:p w14:paraId="69CEA7A1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3801A926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13CF1096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F298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783F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C57DAD" w14:paraId="11E93D50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FC2C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E7DF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425D1F38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09836C95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54435498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EDD8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51C1" w14:textId="738632CE" w:rsidR="00F9486B" w:rsidRPr="00F9486B" w:rsidRDefault="009148F2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Светлофф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плюс» (сертификация монолитных обогревателей)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33408569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323F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6B5C" w14:textId="7E57EEF6" w:rsidR="00DD23C4" w:rsidRPr="00825ECA" w:rsidRDefault="009148F2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150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тысяч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рублей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93993" w:rsidRPr="00F9486B" w14:paraId="34AAF1E5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AD094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A9E3" w14:textId="7E1574FA" w:rsidR="00193993" w:rsidRDefault="009148F2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29 июля 2025 года.</w:t>
            </w:r>
          </w:p>
          <w:p w14:paraId="47F2476D" w14:textId="18359B06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9148F2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04-14/87 от 21.07.2025»</w:t>
            </w:r>
          </w:p>
        </w:tc>
      </w:tr>
      <w:tr w:rsidR="003F33CB" w:rsidRPr="00F9486B" w14:paraId="237FE8AD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BB1B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B746" w14:textId="1060F5B9" w:rsidR="003F33CB" w:rsidRPr="00F9486B" w:rsidRDefault="009148F2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Светлофф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плюс», Адрес: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Респулика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Бурятия,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г.Улан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-Удэ, ул. Шумяцкого, д.7, кв. 122, телефон: +79644024474; +79644077269,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ooosvetloff@yandex.ru. </w:t>
            </w:r>
          </w:p>
        </w:tc>
      </w:tr>
      <w:tr w:rsidR="003F33CB" w:rsidRPr="00F9486B" w14:paraId="48F2EB93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EC11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435C" w14:textId="0E774363" w:rsidR="003F33CB" w:rsidRPr="00FF68C9" w:rsidRDefault="009148F2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793C0F2A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475C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6FE9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63D2AA62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B014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9F73" w14:textId="45F941C8" w:rsidR="00BD5FD9" w:rsidRPr="00C2619D" w:rsidRDefault="00CF41C3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CF41C3">
              <w:rPr>
                <w:color w:val="000000"/>
              </w:rPr>
              <w:instrText>https://msp03.ru/konkursy/</w:instrText>
            </w:r>
            <w:r w:rsidRPr="00CF41C3">
              <w:rPr>
                <w:color w:val="000000"/>
                <w:sz w:val="24"/>
                <w:szCs w:val="24"/>
                <w:lang w:eastAsia="en-US"/>
              </w:rPr>
              <w:instrText>17687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7344E2">
              <w:rPr>
                <w:rStyle w:val="a5"/>
              </w:rPr>
              <w:t>https://msp03.ru/konkursy/</w:t>
            </w:r>
            <w:r w:rsidRPr="007344E2">
              <w:rPr>
                <w:rStyle w:val="a5"/>
                <w:sz w:val="24"/>
                <w:szCs w:val="24"/>
                <w:lang w:eastAsia="en-US"/>
              </w:rPr>
              <w:t>17687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01D39995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66DE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1064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087D8762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7A705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</w:t>
            </w:r>
            <w:r w:rsidRPr="00F9486B">
              <w:rPr>
                <w:sz w:val="24"/>
                <w:szCs w:val="24"/>
              </w:rPr>
              <w:lastRenderedPageBreak/>
              <w:t xml:space="preserve">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4601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75149" w:rsidRPr="00F9486B" w14:paraId="0604B0A4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672F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52D7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6E438233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2F55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D313" w14:textId="5B8906ED" w:rsidR="00A3463D" w:rsidRPr="008E1C15" w:rsidRDefault="009148F2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5E76E391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D9F0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385F4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1FD3997C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0A2B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DAF3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0103D9E5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F188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ACD1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0BCAE55C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01CDB2A0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4B4A4595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7B5C2FB8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1A9FA30D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793EF147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7EBB1C89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6B42BBC3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7A2A1BC0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3C7794F4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529A2663" w14:textId="4935DF78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9148F2">
        <w:rPr>
          <w:rFonts w:ascii="Times New Roman" w:hAnsi="Times New Roman" w:cs="Times New Roman"/>
          <w:color w:val="000000" w:themeColor="text1"/>
          <w:sz w:val="24"/>
          <w:szCs w:val="24"/>
        </w:rPr>
        <w:t>04-14/87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9148F2">
        <w:rPr>
          <w:rFonts w:ascii="Times New Roman" w:hAnsi="Times New Roman" w:cs="Times New Roman"/>
          <w:color w:val="000000" w:themeColor="text1"/>
          <w:sz w:val="24"/>
          <w:szCs w:val="24"/>
        </w:rPr>
        <w:t>21.07.2025</w:t>
      </w:r>
    </w:p>
    <w:p w14:paraId="7EBF8452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14442E42" w14:textId="29655CF0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9148F2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9148F2">
        <w:rPr>
          <w:color w:val="000000"/>
          <w:sz w:val="24"/>
          <w:szCs w:val="24"/>
        </w:rPr>
        <w:t>Светлофф</w:t>
      </w:r>
      <w:proofErr w:type="spellEnd"/>
      <w:r w:rsidR="009148F2">
        <w:rPr>
          <w:color w:val="000000"/>
          <w:sz w:val="24"/>
          <w:szCs w:val="24"/>
        </w:rPr>
        <w:t xml:space="preserve"> плюс»</w:t>
      </w:r>
    </w:p>
    <w:p w14:paraId="16AF662E" w14:textId="77777777" w:rsidR="00BD3613" w:rsidRPr="00B74D10" w:rsidRDefault="00CF41C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2DDEC3D7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61EFC222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45F780DF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4317C1C7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0171D62C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07321886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27E38B8C" w14:textId="77777777" w:rsidR="00BD3613" w:rsidRPr="00C57DAD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5F6D480C" w14:textId="77777777" w:rsidR="00BD3613" w:rsidRPr="00B74D10" w:rsidRDefault="00CF41C3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560BE8CB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7E71CFCE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F3E1974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C636EA7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4D98CBB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79CC1D8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269562B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4BF7DF04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7F337790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747ECAB7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3F33D4FA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427E5675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03C7A5F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1D36B7F2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73B6FC4" w14:textId="34AA2335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9148F2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9148F2">
        <w:rPr>
          <w:color w:val="000000"/>
          <w:sz w:val="24"/>
          <w:szCs w:val="24"/>
        </w:rPr>
        <w:t>Светлофф</w:t>
      </w:r>
      <w:proofErr w:type="spellEnd"/>
      <w:r w:rsidR="009148F2">
        <w:rPr>
          <w:color w:val="000000"/>
          <w:sz w:val="24"/>
          <w:szCs w:val="24"/>
        </w:rPr>
        <w:t xml:space="preserve"> плюс»</w:t>
      </w:r>
    </w:p>
    <w:p w14:paraId="1E3B9C87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6FF0B73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00B1A07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39657C80" w14:textId="77777777" w:rsidR="00BD3613" w:rsidRPr="00B74D10" w:rsidRDefault="00CF41C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21EE9DD9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5A2A4919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056605BC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35F6A3F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36D33B10" w14:textId="77777777" w:rsidTr="00B74D10">
        <w:trPr>
          <w:trHeight w:val="602"/>
        </w:trPr>
        <w:tc>
          <w:tcPr>
            <w:tcW w:w="799" w:type="dxa"/>
          </w:tcPr>
          <w:p w14:paraId="51FCE3B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6DB8CB0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6551CCCB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0E2A6E5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0CD7332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73F60A26" w14:textId="77777777" w:rsidTr="00B74D10">
        <w:trPr>
          <w:trHeight w:val="301"/>
        </w:trPr>
        <w:tc>
          <w:tcPr>
            <w:tcW w:w="799" w:type="dxa"/>
          </w:tcPr>
          <w:p w14:paraId="608D960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32C058E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81EE2F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765CA22F" w14:textId="77777777" w:rsidTr="00B74D10">
        <w:trPr>
          <w:trHeight w:val="302"/>
        </w:trPr>
        <w:tc>
          <w:tcPr>
            <w:tcW w:w="799" w:type="dxa"/>
          </w:tcPr>
          <w:p w14:paraId="40F04DA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5DDF4D8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AAE937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5AC6D05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1834AA8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>
        <w:r w:rsidRPr="00B74D10">
          <w:rPr>
            <w:color w:val="0462C1"/>
            <w:sz w:val="24"/>
            <w:szCs w:val="24"/>
            <w:u w:val="single"/>
          </w:rPr>
          <w:t>https://msp03.ru</w:t>
        </w:r>
      </w:hyperlink>
      <w:r w:rsidRPr="00B74D10">
        <w:rPr>
          <w:color w:val="0462C1"/>
          <w:sz w:val="24"/>
          <w:szCs w:val="24"/>
        </w:rPr>
        <w:t xml:space="preserve"> </w:t>
      </w:r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377F9520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3488C56B" w14:textId="77777777" w:rsidR="00BD3613" w:rsidRPr="00B74D10" w:rsidRDefault="00CF41C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234337EC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4C52B87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B23CF3A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7E0A56B6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6DAD70D6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31CEB129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16F4FA1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C57DAD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064EB63F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14B251CD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17F8E0D2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41D5865F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3790B930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461D35A3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699F87D4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282AB326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9277833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4A3AE344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502D7E05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7C48693E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00FA712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22D3A1F0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2BF83394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6BDF8D5E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7A3F341C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65BF206A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704B614A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16E04B79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35BC108A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0AD33EB9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651A08B6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32CD0F3A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7FCDE72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1928CCA2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4D3F2F3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0C02BB4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5FD66C87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400E4E8F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FE8A3C7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1AE015B6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21ADA9E1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1E5AF083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21C987EA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4B6FE9EF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1F6E4C12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656904A3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08E3C09A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4609031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27885CC7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355C01E1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25C0E86F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74A1C00A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7C51380A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52DFD3F0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6FD28536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7A4D5F73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0553C248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7950EF3D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30F6E202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0A494178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37614AC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2A7F4269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6F2388DD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41467481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46F05A3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0DC10822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4161BD45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5DA6CD64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6322608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38DED84A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581C6B45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554C0E7B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61D46B69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2D29761C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2AA4D748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0E3A719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088E1791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4E2AD2F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5BEC3DE6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110F772D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195BABED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6CDF6DE0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52870EDA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251B15D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330E1367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3E0B2F5C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E24A733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6F2F3401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00EAFA76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51972A27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2F38F73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3771684D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14BB31F5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6C7851A1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5EE06E38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62F1475D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5D4B9FA3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39381CC9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38B52C6D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1976308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6630B090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74F27860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1500E294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5E010A3A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68F23154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2E5B50B0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00333C5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89FA01D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2ECE5AB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3D7A1E94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10F3EB49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89608FD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2EE3B7F7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7115417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577E528B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24317B5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195547BE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7AE1205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6BF64D63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6303CDAB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23F5F8F5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2E5C8EB2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2FDB054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00663AA1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6CE3F10D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7FA37343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3C89BD03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0B24F6AF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24183BD7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50BC7DA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6A2D1B4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5F7C41B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3CF1076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05B5EE0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2F798D2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6529391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797FB6A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338E8D8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7ED7D5FE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393977B2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6CB1BC68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7995CC5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02CC97B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7DE63D2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04C4AE95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086A312C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6CED0A72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5CB6B0B9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67A6860B" w14:textId="77777777" w:rsidR="00572B38" w:rsidRPr="00572B38" w:rsidRDefault="00CF41C3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27D1E792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3AAD9D7D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7A712FDB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345D8EC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099FB306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4EA3A620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7728F542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7955EACC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01D7DD5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3671399C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0BBD86F" w14:textId="77777777" w:rsidR="00572B38" w:rsidRPr="00572B38" w:rsidRDefault="00CF41C3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317F88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316AEE18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6E3CEB67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321FC2B5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077D7000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3A952D77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23E661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EDFAC77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45E833E9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781C53F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1CD771A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25F1AF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4599DBE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08081E5D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7FE093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37B38A4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7DCC615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4C026FF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AA4C200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1DB37123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187E29DD" w14:textId="77777777" w:rsidTr="00A635BE">
        <w:tc>
          <w:tcPr>
            <w:tcW w:w="10686" w:type="dxa"/>
            <w:gridSpan w:val="6"/>
          </w:tcPr>
          <w:p w14:paraId="3A8196A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42865634" w14:textId="77777777" w:rsidTr="00A635BE">
        <w:tc>
          <w:tcPr>
            <w:tcW w:w="10686" w:type="dxa"/>
            <w:gridSpan w:val="6"/>
          </w:tcPr>
          <w:p w14:paraId="3B18D3E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36A5EA73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620044A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65513B6F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78620622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63924D5F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0FADF95B" w14:textId="77777777" w:rsidTr="00A635BE">
        <w:tc>
          <w:tcPr>
            <w:tcW w:w="3403" w:type="dxa"/>
            <w:shd w:val="clear" w:color="auto" w:fill="auto"/>
          </w:tcPr>
          <w:p w14:paraId="7EAF1BA3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  <w:shd w:val="clear" w:color="auto" w:fill="auto"/>
          </w:tcPr>
          <w:p w14:paraId="1EC42C29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  <w:shd w:val="clear" w:color="auto" w:fill="auto"/>
          </w:tcPr>
          <w:p w14:paraId="66DEE2C1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3849951E" w14:textId="77777777" w:rsidTr="00A635BE">
        <w:tc>
          <w:tcPr>
            <w:tcW w:w="3403" w:type="dxa"/>
            <w:shd w:val="clear" w:color="auto" w:fill="auto"/>
          </w:tcPr>
          <w:p w14:paraId="2043D97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65FAC06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5FB3701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01E082F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D0E132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0029B70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3F11EC5B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DA542A4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37FA506A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8EBCD4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292DC27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5B89AA7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4B5C83C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7380AC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C02A24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0C184EC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B9382D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051005D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2BCF3B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35DF129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DA0E6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4D66E7B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FD566E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8DA5216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2A8BF4A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63487C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79EA5FBC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2F67A636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36602349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21366DCE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401F39D9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08FB14A6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2353DD7A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63645B7F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1C17109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3BE481EB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4858E106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14BD760E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4366A684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540EEEF8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5BF271D7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7F06257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29D81056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4A6D63F4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0F77F71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11E107D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00F68B4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0D49601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52F8D2A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2EB777F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4F827F4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5C5A596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1124B99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48F14C7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6C0E82C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03BC3CE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7792256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D2734D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54227EF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2B5B814E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1A07782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415975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707C569D" w14:textId="77777777" w:rsidR="006C23DF" w:rsidRPr="00572B38" w:rsidRDefault="00CF41C3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04B393C9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6D13B799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28775E72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066F0A9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6CF702A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5B2D7D6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7B31F12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45FD393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1E89AB8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2285659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7297BAC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41E6665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3EF050C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2458895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739A73C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0759501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78392A48" wp14:editId="44180910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6293A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48C6DC2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0FF7F13A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35EDEEA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69207CDB" wp14:editId="1E62D9CB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E83E9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7FB56E0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6E4C1B6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78C506A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399E1236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002D62B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683173D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6DA45833" w14:textId="77777777" w:rsidTr="00A635BE">
        <w:tc>
          <w:tcPr>
            <w:tcW w:w="704" w:type="dxa"/>
          </w:tcPr>
          <w:p w14:paraId="4C365CD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C93B85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2A14739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3CE90777" w14:textId="77777777" w:rsidTr="00A635BE">
        <w:tc>
          <w:tcPr>
            <w:tcW w:w="704" w:type="dxa"/>
          </w:tcPr>
          <w:p w14:paraId="54D89AA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4B1074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6671F5A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3DF0940E" w14:textId="77777777" w:rsidTr="00A635BE">
        <w:tc>
          <w:tcPr>
            <w:tcW w:w="704" w:type="dxa"/>
          </w:tcPr>
          <w:p w14:paraId="52D0423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1A89E81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379A851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479D1F80" w14:textId="77777777" w:rsidTr="00A635BE">
        <w:tc>
          <w:tcPr>
            <w:tcW w:w="704" w:type="dxa"/>
          </w:tcPr>
          <w:p w14:paraId="516CA89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08D6C7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5C8724D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71CE51B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13216F4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04B717F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7F1F2D6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6A1DBDF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120E1FE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42E9981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167D4BC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5FD1EB4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133D2ED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5F4E2C9A" w14:textId="77777777" w:rsidTr="00A635BE">
        <w:tc>
          <w:tcPr>
            <w:tcW w:w="704" w:type="dxa"/>
          </w:tcPr>
          <w:p w14:paraId="2D3B7CB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E2D888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13DB4E0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713731B4" w14:textId="77777777" w:rsidTr="00A635BE">
        <w:tc>
          <w:tcPr>
            <w:tcW w:w="704" w:type="dxa"/>
          </w:tcPr>
          <w:p w14:paraId="5511EEA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BFD6D4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3456639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000B29C5" w14:textId="77777777" w:rsidTr="00A635BE">
        <w:tc>
          <w:tcPr>
            <w:tcW w:w="704" w:type="dxa"/>
          </w:tcPr>
          <w:p w14:paraId="6D7AB9C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835FD0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6A37F6F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03444966" w14:textId="77777777" w:rsidTr="00A635BE">
        <w:tc>
          <w:tcPr>
            <w:tcW w:w="704" w:type="dxa"/>
          </w:tcPr>
          <w:p w14:paraId="474E269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C2B0EE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3AE877A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6DC072D8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0B02A96F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002AAD2B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0041F3B0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7D2E48BA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73A91312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384D9C71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14775B1E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EF4CFD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14695D81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2934DE4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6C4111E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1758B445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41087D8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7DC4824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76C7B124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65E3A4F1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693B9CE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2EFFEEB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2B769CC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006A6401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0C8B33B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534A98B1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6FD094A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2FE3C4C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5001C94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6F94B78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3752DD5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0101235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23B5ECA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15442B3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733AC7F0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153A69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4CC141ED" w14:textId="77777777" w:rsidR="00C57DAD" w:rsidRPr="00C57DAD" w:rsidRDefault="00C57DAD" w:rsidP="00C57DAD">
      <w:pPr>
        <w:spacing w:line="300" w:lineRule="auto"/>
        <w:ind w:firstLine="709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14:paraId="2D0B0A00" w14:textId="77777777" w:rsidR="00C57DAD" w:rsidRPr="00C57DAD" w:rsidRDefault="00C57DAD" w:rsidP="00C57DAD">
      <w:pPr>
        <w:autoSpaceDE w:val="0"/>
        <w:autoSpaceDN w:val="0"/>
        <w:adjustRightInd w:val="0"/>
        <w:spacing w:line="300" w:lineRule="auto"/>
        <w:ind w:firstLine="709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C57DAD">
        <w:rPr>
          <w:rFonts w:eastAsia="Calibri"/>
          <w:b/>
          <w:bCs/>
          <w:sz w:val="22"/>
          <w:szCs w:val="22"/>
          <w:lang w:eastAsia="en-US"/>
        </w:rPr>
        <w:t>на оказание услуг по с</w:t>
      </w:r>
      <w:r w:rsidRPr="00C57DAD">
        <w:rPr>
          <w:rFonts w:eastAsia="Calibri"/>
          <w:b/>
          <w:sz w:val="22"/>
          <w:szCs w:val="22"/>
          <w:lang w:eastAsia="en-US"/>
        </w:rPr>
        <w:t>одействию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1B8B6C55" w14:textId="77777777" w:rsidR="00C57DAD" w:rsidRPr="00C57DAD" w:rsidRDefault="00C57DAD" w:rsidP="00C57DAD">
      <w:pPr>
        <w:spacing w:line="30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4EC7B38C" w14:textId="77777777" w:rsidR="00C57DAD" w:rsidRPr="00C57DAD" w:rsidRDefault="00C57DAD" w:rsidP="00C57DAD">
      <w:pPr>
        <w:numPr>
          <w:ilvl w:val="0"/>
          <w:numId w:val="2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Заказчик: Гарантийный фонд Бурятии,</w:t>
      </w:r>
    </w:p>
    <w:p w14:paraId="5E3FE450" w14:textId="77777777" w:rsidR="00C57DAD" w:rsidRPr="00C57DAD" w:rsidRDefault="00C57DAD" w:rsidP="00C57DAD">
      <w:pPr>
        <w:numPr>
          <w:ilvl w:val="0"/>
          <w:numId w:val="2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 xml:space="preserve">Получатель услуги: </w:t>
      </w:r>
      <w:r w:rsidRPr="00C57DAD">
        <w:rPr>
          <w:rFonts w:eastAsia="Calibri"/>
          <w:bCs/>
          <w:sz w:val="22"/>
          <w:szCs w:val="22"/>
          <w:lang w:eastAsia="en-US"/>
        </w:rPr>
        <w:t>ООО «</w:t>
      </w:r>
      <w:proofErr w:type="spellStart"/>
      <w:r w:rsidRPr="00C57DAD">
        <w:rPr>
          <w:rFonts w:eastAsia="Calibri"/>
          <w:bCs/>
          <w:sz w:val="22"/>
          <w:szCs w:val="22"/>
          <w:lang w:eastAsia="en-US"/>
        </w:rPr>
        <w:t>Светлофф</w:t>
      </w:r>
      <w:proofErr w:type="spellEnd"/>
      <w:r w:rsidRPr="00C57DAD">
        <w:rPr>
          <w:rFonts w:eastAsia="Calibri"/>
          <w:bCs/>
          <w:sz w:val="22"/>
          <w:szCs w:val="22"/>
          <w:lang w:eastAsia="en-US"/>
        </w:rPr>
        <w:t xml:space="preserve"> плюс»</w:t>
      </w:r>
    </w:p>
    <w:p w14:paraId="5426C4D3" w14:textId="77777777" w:rsidR="00C57DAD" w:rsidRPr="00C57DAD" w:rsidRDefault="00C57DAD" w:rsidP="00C57DAD">
      <w:pPr>
        <w:numPr>
          <w:ilvl w:val="0"/>
          <w:numId w:val="2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Источник финансирования</w:t>
      </w:r>
      <w:r w:rsidRPr="00C57DAD">
        <w:rPr>
          <w:rFonts w:eastAsia="Calibri"/>
          <w:sz w:val="22"/>
          <w:szCs w:val="22"/>
          <w:lang w:eastAsia="en-US"/>
        </w:rPr>
        <w:t>: средства субсидии</w:t>
      </w:r>
      <w:r w:rsidRPr="00C57DAD">
        <w:rPr>
          <w:rFonts w:eastAsia="Calibri"/>
          <w:b/>
          <w:sz w:val="22"/>
          <w:szCs w:val="22"/>
          <w:lang w:eastAsia="en-US"/>
        </w:rPr>
        <w:t xml:space="preserve"> </w:t>
      </w:r>
      <w:r w:rsidRPr="00C57DAD">
        <w:rPr>
          <w:rFonts w:eastAsia="Calibri"/>
          <w:sz w:val="22"/>
          <w:szCs w:val="22"/>
          <w:lang w:eastAsia="en-US"/>
        </w:rPr>
        <w:t xml:space="preserve">на развитие </w:t>
      </w:r>
      <w:r w:rsidRPr="00C57DAD">
        <w:rPr>
          <w:rFonts w:eastAsia="Calibri"/>
          <w:bCs/>
          <w:sz w:val="22"/>
          <w:szCs w:val="22"/>
        </w:rPr>
        <w:t>Центра предпринимательства «Мой бизнес»</w:t>
      </w:r>
    </w:p>
    <w:p w14:paraId="6E59C4D7" w14:textId="77777777" w:rsidR="00C57DAD" w:rsidRPr="00C57DAD" w:rsidRDefault="00C57DAD" w:rsidP="00C57DAD">
      <w:pPr>
        <w:numPr>
          <w:ilvl w:val="0"/>
          <w:numId w:val="2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Основное содержание услуг</w:t>
      </w:r>
      <w:r w:rsidRPr="00C57DAD">
        <w:rPr>
          <w:rFonts w:eastAsia="Calibri"/>
          <w:b/>
          <w:sz w:val="22"/>
          <w:szCs w:val="22"/>
          <w:lang w:val="en-US" w:eastAsia="en-US"/>
        </w:rPr>
        <w:t>:</w:t>
      </w:r>
    </w:p>
    <w:p w14:paraId="04E1656B" w14:textId="77777777" w:rsidR="00C57DAD" w:rsidRPr="00C57DAD" w:rsidRDefault="00C57DAD" w:rsidP="00C57DAD">
      <w:pPr>
        <w:tabs>
          <w:tab w:val="left" w:pos="993"/>
          <w:tab w:val="left" w:pos="1134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4.1.</w:t>
      </w:r>
      <w:r w:rsidRPr="00C57DAD">
        <w:rPr>
          <w:rFonts w:eastAsia="Calibri"/>
          <w:sz w:val="22"/>
          <w:szCs w:val="22"/>
          <w:lang w:eastAsia="en-US"/>
        </w:rPr>
        <w:tab/>
        <w:t xml:space="preserve"> Наименование услуг: Содействие в получение разрешительной документации на продукцию субъектов малого и среднего предпринимательства в целях выхода на внутренние и зарубежные рынки </w:t>
      </w:r>
      <w:r w:rsidRPr="00C57DAD">
        <w:rPr>
          <w:rFonts w:eastAsia="Calibri"/>
          <w:bCs/>
          <w:sz w:val="22"/>
          <w:szCs w:val="22"/>
          <w:lang w:eastAsia="en-US"/>
        </w:rPr>
        <w:t xml:space="preserve">– </w:t>
      </w:r>
      <w:r w:rsidRPr="00C57DAD">
        <w:rPr>
          <w:rFonts w:eastAsia="Calibri"/>
          <w:sz w:val="22"/>
          <w:szCs w:val="22"/>
          <w:lang w:eastAsia="en-US"/>
        </w:rPr>
        <w:t>сертификация продукции на соответствие требованиям Технических регламентов Таможенного союза:</w:t>
      </w:r>
    </w:p>
    <w:p w14:paraId="55FC7058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>ТР ТС 004/2011 «О безопасности низковольтного оборудования»;</w:t>
      </w:r>
    </w:p>
    <w:p w14:paraId="506EBBD5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>ТР ТС 020/2011 «Электромагнитная совместимость технических средств»;</w:t>
      </w:r>
    </w:p>
    <w:p w14:paraId="4328A861" w14:textId="77777777" w:rsidR="00C57DAD" w:rsidRPr="00C57DAD" w:rsidRDefault="00C57DAD" w:rsidP="00C57DAD">
      <w:pPr>
        <w:tabs>
          <w:tab w:val="left" w:pos="993"/>
          <w:tab w:val="left" w:pos="1134"/>
        </w:tabs>
        <w:ind w:left="426"/>
        <w:contextualSpacing/>
        <w:jc w:val="both"/>
        <w:rPr>
          <w:rFonts w:eastAsia="Calibri"/>
          <w:color w:val="000000"/>
          <w:sz w:val="22"/>
          <w:szCs w:val="22"/>
          <w:lang w:bidi="ru-RU"/>
        </w:rPr>
      </w:pPr>
    </w:p>
    <w:p w14:paraId="09D06E74" w14:textId="77777777" w:rsidR="00C57DAD" w:rsidRPr="00C57DAD" w:rsidRDefault="00C57DAD" w:rsidP="00C57DAD">
      <w:pPr>
        <w:numPr>
          <w:ilvl w:val="0"/>
          <w:numId w:val="21"/>
        </w:numPr>
        <w:tabs>
          <w:tab w:val="left" w:pos="993"/>
          <w:tab w:val="left" w:pos="1134"/>
        </w:tabs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 xml:space="preserve">Цель проведения, сертификация: </w:t>
      </w:r>
    </w:p>
    <w:p w14:paraId="1C2A0A1F" w14:textId="77777777" w:rsidR="00C57DAD" w:rsidRPr="00C57DAD" w:rsidRDefault="00C57DAD" w:rsidP="00C57DAD">
      <w:pPr>
        <w:tabs>
          <w:tab w:val="left" w:pos="993"/>
          <w:tab w:val="left" w:pos="1134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Получение необходимых разрешительных документов на продукцию:</w:t>
      </w:r>
    </w:p>
    <w:p w14:paraId="13D300A9" w14:textId="0ACE4B08" w:rsidR="00C57DAD" w:rsidRPr="00C57DAD" w:rsidRDefault="00C57DAD" w:rsidP="00C57DAD">
      <w:pPr>
        <w:tabs>
          <w:tab w:val="left" w:pos="993"/>
          <w:tab w:val="left" w:pos="1134"/>
        </w:tabs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>Монолитные обогреватели МКТЭН 2.01, серийный выпуск</w:t>
      </w:r>
    </w:p>
    <w:p w14:paraId="20CD0C1E" w14:textId="77777777" w:rsidR="00C57DAD" w:rsidRPr="00C57DAD" w:rsidRDefault="00C57DAD" w:rsidP="00C57DAD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556A1A1" w14:textId="77777777" w:rsidR="00C57DAD" w:rsidRPr="00C57DAD" w:rsidRDefault="00C57DAD" w:rsidP="00C57DAD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6.</w:t>
      </w:r>
      <w:r w:rsidRPr="00C57DAD">
        <w:rPr>
          <w:rFonts w:eastAsia="Calibri"/>
          <w:b/>
          <w:sz w:val="22"/>
          <w:szCs w:val="22"/>
          <w:lang w:eastAsia="en-US"/>
        </w:rPr>
        <w:tab/>
        <w:t xml:space="preserve"> Полный список получаемой документации и реализуемых услуг:</w:t>
      </w:r>
    </w:p>
    <w:p w14:paraId="17838950" w14:textId="77777777" w:rsidR="00C57DAD" w:rsidRPr="00C57DAD" w:rsidRDefault="00C57DAD" w:rsidP="00C57DAD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6.1.</w:t>
      </w:r>
      <w:r w:rsidRPr="00C57DAD">
        <w:rPr>
          <w:rFonts w:eastAsia="Calibri"/>
          <w:sz w:val="22"/>
          <w:szCs w:val="22"/>
          <w:lang w:eastAsia="en-US"/>
        </w:rPr>
        <w:tab/>
        <w:t xml:space="preserve">Технические условия на продукцию: </w:t>
      </w:r>
      <w:r w:rsidRPr="00C57DAD">
        <w:rPr>
          <w:rFonts w:eastAsia="Calibri"/>
          <w:bCs/>
          <w:sz w:val="22"/>
          <w:szCs w:val="22"/>
          <w:lang w:eastAsia="en-US"/>
        </w:rPr>
        <w:t>Монолитные обогреватели МКТЭН 2.01</w:t>
      </w:r>
    </w:p>
    <w:p w14:paraId="2C37843A" w14:textId="77777777" w:rsidR="00C57DAD" w:rsidRPr="00C57DAD" w:rsidRDefault="00C57DAD" w:rsidP="00C57DAD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6.2.</w:t>
      </w:r>
      <w:r w:rsidRPr="00C57DAD">
        <w:rPr>
          <w:rFonts w:eastAsia="Calibri"/>
          <w:sz w:val="22"/>
          <w:szCs w:val="22"/>
          <w:lang w:eastAsia="en-US"/>
        </w:rPr>
        <w:tab/>
        <w:t xml:space="preserve"> Проведение испытаний образцов продукции </w:t>
      </w:r>
      <w:r w:rsidRPr="00C57DAD">
        <w:rPr>
          <w:rFonts w:eastAsia="Calibri"/>
          <w:bCs/>
          <w:sz w:val="22"/>
          <w:szCs w:val="22"/>
          <w:lang w:eastAsia="en-US"/>
        </w:rPr>
        <w:t>Монолитные обогреватели МКТЭН 2.01</w:t>
      </w:r>
      <w:r w:rsidRPr="00C57DAD">
        <w:rPr>
          <w:rFonts w:eastAsia="Calibri"/>
          <w:sz w:val="22"/>
          <w:szCs w:val="22"/>
          <w:lang w:eastAsia="en-US"/>
        </w:rPr>
        <w:t xml:space="preserve"> в аккредитованной испытательной лаборатории по показателям, регламентированным техническими регламентами Таможенного союза:</w:t>
      </w:r>
    </w:p>
    <w:p w14:paraId="68D86774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>ТР ТС 004/2011 «О безопасности низковольтного оборудования»;</w:t>
      </w:r>
    </w:p>
    <w:p w14:paraId="5105CACB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 xml:space="preserve">ТР ТС 020/2011 «Электромагнитная совместимость технических средств» </w:t>
      </w:r>
    </w:p>
    <w:p w14:paraId="6641BF09" w14:textId="77777777" w:rsidR="00C57DAD" w:rsidRPr="00C57DAD" w:rsidRDefault="00C57DAD" w:rsidP="00C57DAD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</w:p>
    <w:p w14:paraId="034AAEB0" w14:textId="77777777" w:rsidR="00C57DAD" w:rsidRPr="00C57DAD" w:rsidRDefault="00C57DAD" w:rsidP="00C57DAD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6.3.</w:t>
      </w:r>
      <w:r w:rsidRPr="00C57DAD">
        <w:rPr>
          <w:rFonts w:eastAsia="Calibri"/>
          <w:sz w:val="22"/>
          <w:szCs w:val="22"/>
          <w:lang w:eastAsia="en-US"/>
        </w:rPr>
        <w:tab/>
        <w:t>Регистрация сертификата соответствия сроком на 3 года в соответствие требованиями Технических регламентов Таможенного союза:</w:t>
      </w:r>
    </w:p>
    <w:p w14:paraId="631C576C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>ТР ТС 004/2011 «О безопасности низковольтного оборудования»;</w:t>
      </w:r>
    </w:p>
    <w:p w14:paraId="5152C0FF" w14:textId="77777777" w:rsidR="00C57DAD" w:rsidRPr="00C57DAD" w:rsidRDefault="00C57DAD" w:rsidP="00C57D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 xml:space="preserve">ТР ТС 020/2011 «Электромагнитная совместимость технических средств» </w:t>
      </w:r>
    </w:p>
    <w:p w14:paraId="6EC2E3A8" w14:textId="77777777" w:rsidR="00C57DAD" w:rsidRPr="00C57DAD" w:rsidRDefault="00C57DAD" w:rsidP="00C57DAD">
      <w:pPr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на следующую продукцию:</w:t>
      </w:r>
    </w:p>
    <w:p w14:paraId="45A488E2" w14:textId="77777777" w:rsidR="00C57DAD" w:rsidRPr="00C57DAD" w:rsidRDefault="00C57DAD" w:rsidP="00C57DAD">
      <w:pPr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bCs/>
          <w:sz w:val="22"/>
          <w:szCs w:val="22"/>
          <w:lang w:eastAsia="en-US"/>
        </w:rPr>
        <w:t xml:space="preserve">Монолитные обогреватели МКТЭН 2.01 </w:t>
      </w:r>
      <w:r w:rsidRPr="00C57DAD">
        <w:rPr>
          <w:rFonts w:eastAsia="Calibri"/>
          <w:sz w:val="22"/>
          <w:szCs w:val="22"/>
          <w:lang w:eastAsia="en-US"/>
        </w:rPr>
        <w:t>схема сертификации 1 с</w:t>
      </w:r>
    </w:p>
    <w:p w14:paraId="542432D2" w14:textId="77777777" w:rsidR="00C57DAD" w:rsidRPr="00C57DAD" w:rsidRDefault="00C57DAD" w:rsidP="00C57DAD">
      <w:pPr>
        <w:jc w:val="both"/>
        <w:rPr>
          <w:rFonts w:eastAsia="Calibri"/>
          <w:sz w:val="22"/>
          <w:szCs w:val="22"/>
          <w:lang w:eastAsia="en-US"/>
        </w:rPr>
      </w:pPr>
    </w:p>
    <w:p w14:paraId="0BBE91A3" w14:textId="77777777" w:rsidR="00C57DAD" w:rsidRPr="00C57DAD" w:rsidRDefault="00C57DAD" w:rsidP="00C57DAD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C57DAD">
        <w:rPr>
          <w:rFonts w:eastAsia="Calibri"/>
          <w:b/>
          <w:sz w:val="22"/>
          <w:szCs w:val="22"/>
          <w:lang w:eastAsia="en-US"/>
        </w:rPr>
        <w:t>7. Исполнитель передает Заказчику и Получателю услуги</w:t>
      </w:r>
      <w:r w:rsidRPr="00C57DAD">
        <w:rPr>
          <w:rFonts w:eastAsia="Calibri"/>
          <w:b/>
          <w:sz w:val="22"/>
          <w:szCs w:val="22"/>
        </w:rPr>
        <w:t xml:space="preserve"> </w:t>
      </w:r>
      <w:r w:rsidRPr="00C57DAD">
        <w:rPr>
          <w:rFonts w:eastAsia="Calibri"/>
          <w:b/>
          <w:sz w:val="22"/>
          <w:szCs w:val="22"/>
          <w:lang w:eastAsia="en-US"/>
        </w:rPr>
        <w:t>следующую документацию:</w:t>
      </w:r>
    </w:p>
    <w:p w14:paraId="28E5CA8C" w14:textId="77777777" w:rsidR="00C57DAD" w:rsidRPr="00C57DAD" w:rsidRDefault="00C57DAD" w:rsidP="00C57DAD">
      <w:pPr>
        <w:numPr>
          <w:ilvl w:val="0"/>
          <w:numId w:val="22"/>
        </w:numPr>
        <w:spacing w:line="276" w:lineRule="auto"/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Акт об оказанных услугах;</w:t>
      </w:r>
    </w:p>
    <w:p w14:paraId="12981668" w14:textId="77777777" w:rsidR="00C57DAD" w:rsidRPr="00C57DAD" w:rsidRDefault="00C57DAD" w:rsidP="00C57DAD">
      <w:pPr>
        <w:numPr>
          <w:ilvl w:val="0"/>
          <w:numId w:val="22"/>
        </w:numPr>
        <w:spacing w:line="276" w:lineRule="auto"/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Технические условия.</w:t>
      </w:r>
    </w:p>
    <w:p w14:paraId="6FA05A70" w14:textId="77777777" w:rsidR="00C57DAD" w:rsidRPr="00C57DAD" w:rsidRDefault="00C57DAD" w:rsidP="00C57DAD">
      <w:pPr>
        <w:numPr>
          <w:ilvl w:val="0"/>
          <w:numId w:val="22"/>
        </w:numPr>
        <w:spacing w:line="276" w:lineRule="auto"/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Протоколы лабораторных испытаний.</w:t>
      </w:r>
    </w:p>
    <w:p w14:paraId="75BA5F8A" w14:textId="77777777" w:rsidR="00C57DAD" w:rsidRPr="00C57DAD" w:rsidRDefault="00C57DAD" w:rsidP="00C57DAD">
      <w:pPr>
        <w:numPr>
          <w:ilvl w:val="0"/>
          <w:numId w:val="22"/>
        </w:numPr>
        <w:spacing w:line="276" w:lineRule="auto"/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Оригинал Сертификата о соответствии ТР ТС сроком на 3 года</w:t>
      </w:r>
    </w:p>
    <w:p w14:paraId="09F01DDB" w14:textId="77777777" w:rsidR="00C57DAD" w:rsidRPr="00C57DAD" w:rsidRDefault="00C57DAD" w:rsidP="00C57DAD">
      <w:pPr>
        <w:tabs>
          <w:tab w:val="left" w:pos="993"/>
          <w:tab w:val="left" w:pos="1134"/>
        </w:tabs>
        <w:spacing w:line="300" w:lineRule="auto"/>
        <w:ind w:firstLine="567"/>
        <w:contextualSpacing/>
        <w:jc w:val="both"/>
        <w:rPr>
          <w:rFonts w:eastAsia="Calibri"/>
          <w:bCs/>
          <w:sz w:val="22"/>
          <w:szCs w:val="22"/>
        </w:rPr>
      </w:pPr>
    </w:p>
    <w:p w14:paraId="5BB6239D" w14:textId="77777777" w:rsidR="00C57DAD" w:rsidRPr="00C57DAD" w:rsidRDefault="00C57DAD" w:rsidP="00C57DAD">
      <w:pPr>
        <w:numPr>
          <w:ilvl w:val="0"/>
          <w:numId w:val="23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57DAD">
        <w:rPr>
          <w:rFonts w:eastAsia="Calibri"/>
          <w:sz w:val="22"/>
          <w:szCs w:val="22"/>
          <w:lang w:eastAsia="en-US"/>
        </w:rPr>
        <w:t>Исполнитель обязуется заблаговременно извещать Заказчика о трудностях, возникающих в процессе оказания услуг в соответствии с настоящим Техническим заданием.</w:t>
      </w:r>
    </w:p>
    <w:p w14:paraId="75811BB1" w14:textId="77777777" w:rsidR="00C57DAD" w:rsidRPr="00C57DAD" w:rsidRDefault="00C57DAD" w:rsidP="00C57DAD">
      <w:pPr>
        <w:numPr>
          <w:ilvl w:val="0"/>
          <w:numId w:val="23"/>
        </w:numPr>
        <w:tabs>
          <w:tab w:val="left" w:pos="993"/>
          <w:tab w:val="left" w:pos="1134"/>
        </w:tabs>
        <w:spacing w:after="200" w:line="276" w:lineRule="auto"/>
        <w:contextualSpacing/>
        <w:jc w:val="both"/>
        <w:outlineLvl w:val="0"/>
        <w:rPr>
          <w:rFonts w:eastAsia="Calibri"/>
          <w:bCs/>
          <w:sz w:val="22"/>
          <w:szCs w:val="22"/>
        </w:rPr>
      </w:pPr>
      <w:r w:rsidRPr="00C57DAD">
        <w:rPr>
          <w:rFonts w:eastAsia="Calibri"/>
          <w:bCs/>
          <w:sz w:val="22"/>
          <w:szCs w:val="22"/>
        </w:rPr>
        <w:t>Место предоставления отчетных документов: г. Улан-Удэ, ул. Смолина, 65 Центр предпринимательства «Мой бизнес».</w:t>
      </w:r>
    </w:p>
    <w:p w14:paraId="75105773" w14:textId="77777777" w:rsidR="00C57DAD" w:rsidRPr="00C57DAD" w:rsidRDefault="00C57DAD" w:rsidP="00C57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6EA5E3" w14:textId="77777777" w:rsidR="00C90801" w:rsidRPr="004E1086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C90801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8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1" w15:restartNumberingAfterBreak="0">
    <w:nsid w:val="6C570972"/>
    <w:multiLevelType w:val="hybridMultilevel"/>
    <w:tmpl w:val="BEA8BD9A"/>
    <w:lvl w:ilvl="0" w:tplc="ABDA7AAC">
      <w:start w:val="8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387152674">
    <w:abstractNumId w:val="14"/>
  </w:num>
  <w:num w:numId="2" w16cid:durableId="1718777810">
    <w:abstractNumId w:val="16"/>
  </w:num>
  <w:num w:numId="3" w16cid:durableId="702705881">
    <w:abstractNumId w:val="11"/>
  </w:num>
  <w:num w:numId="4" w16cid:durableId="675884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616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39579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814225">
    <w:abstractNumId w:val="5"/>
  </w:num>
  <w:num w:numId="8" w16cid:durableId="2023390320">
    <w:abstractNumId w:val="17"/>
  </w:num>
  <w:num w:numId="9" w16cid:durableId="1322585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706">
    <w:abstractNumId w:val="8"/>
  </w:num>
  <w:num w:numId="11" w16cid:durableId="1637443774">
    <w:abstractNumId w:val="10"/>
  </w:num>
  <w:num w:numId="12" w16cid:durableId="1104572346">
    <w:abstractNumId w:val="2"/>
  </w:num>
  <w:num w:numId="13" w16cid:durableId="498348429">
    <w:abstractNumId w:val="18"/>
  </w:num>
  <w:num w:numId="14" w16cid:durableId="1791783729">
    <w:abstractNumId w:val="6"/>
  </w:num>
  <w:num w:numId="15" w16cid:durableId="1472015604">
    <w:abstractNumId w:val="0"/>
    <w:lvlOverride w:ilvl="0">
      <w:startOverride w:val="1"/>
    </w:lvlOverride>
  </w:num>
  <w:num w:numId="16" w16cid:durableId="2091390232">
    <w:abstractNumId w:val="19"/>
  </w:num>
  <w:num w:numId="17" w16cid:durableId="536427105">
    <w:abstractNumId w:val="4"/>
  </w:num>
  <w:num w:numId="18" w16cid:durableId="1487625604">
    <w:abstractNumId w:val="3"/>
  </w:num>
  <w:num w:numId="19" w16cid:durableId="131095111">
    <w:abstractNumId w:val="15"/>
  </w:num>
  <w:num w:numId="20" w16cid:durableId="2060665438">
    <w:abstractNumId w:val="22"/>
  </w:num>
  <w:num w:numId="21" w16cid:durableId="5158496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9858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6493705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48F2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C0022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436AF"/>
    <w:rsid w:val="0066033C"/>
    <w:rsid w:val="006747C0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148F2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57DAD"/>
    <w:rsid w:val="00C73513"/>
    <w:rsid w:val="00C776DB"/>
    <w:rsid w:val="00C80C20"/>
    <w:rsid w:val="00C90801"/>
    <w:rsid w:val="00CA47FA"/>
    <w:rsid w:val="00CB18D1"/>
    <w:rsid w:val="00CF41C3"/>
    <w:rsid w:val="00D122AC"/>
    <w:rsid w:val="00D40E1D"/>
    <w:rsid w:val="00D8622F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38D83957"/>
  <w15:docId w15:val="{74F21CCC-447E-4D24-9CF1-A74199E7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8022-9061-46CF-A672-B4F65300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3</TotalTime>
  <Pages>15</Pages>
  <Words>6332</Words>
  <Characters>36097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3</cp:revision>
  <dcterms:created xsi:type="dcterms:W3CDTF">2025-07-21T02:58:00Z</dcterms:created>
  <dcterms:modified xsi:type="dcterms:W3CDTF">2025-07-21T03:01:00Z</dcterms:modified>
</cp:coreProperties>
</file>