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>30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>11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B43EE2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организации </w:t>
      </w:r>
      <w:bookmarkStart w:id="1" w:name="_Hlk3902271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участия субъектов малого и среднего предпринимательства Республики Бурятия </w:t>
      </w:r>
      <w:proofErr w:type="gramStart"/>
      <w:r w:rsidR="002E28DB" w:rsidRPr="002E28DB">
        <w:rPr>
          <w:rFonts w:ascii="Times New Roman" w:hAnsi="Times New Roman" w:cs="Times New Roman"/>
          <w:b/>
          <w:sz w:val="24"/>
          <w:szCs w:val="24"/>
        </w:rPr>
        <w:t>в</w:t>
      </w:r>
      <w:bookmarkEnd w:id="0"/>
      <w:bookmarkEnd w:id="1"/>
      <w:r w:rsidR="00AE572A" w:rsidRPr="00397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7AFF" w:rsidRPr="00397AFF">
        <w:rPr>
          <w:rFonts w:ascii="Times New Roman" w:hAnsi="Times New Roman" w:cs="Times New Roman"/>
          <w:b/>
          <w:sz w:val="24"/>
          <w:szCs w:val="24"/>
        </w:rPr>
        <w:t xml:space="preserve"> Международной</w:t>
      </w:r>
      <w:proofErr w:type="gramEnd"/>
      <w:r w:rsidR="00397AFF" w:rsidRPr="00397AFF">
        <w:rPr>
          <w:rFonts w:ascii="Times New Roman" w:hAnsi="Times New Roman" w:cs="Times New Roman"/>
          <w:b/>
          <w:sz w:val="24"/>
          <w:szCs w:val="24"/>
        </w:rPr>
        <w:t xml:space="preserve"> выставке 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5941" w:rsidRPr="00B43EE2" w:rsidRDefault="00397AFF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EE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B43EE2">
        <w:rPr>
          <w:rFonts w:ascii="Times New Roman" w:hAnsi="Times New Roman" w:cs="Times New Roman"/>
          <w:b/>
          <w:sz w:val="24"/>
          <w:szCs w:val="24"/>
          <w:lang w:val="en-US"/>
        </w:rPr>
        <w:t>Agroworld</w:t>
      </w:r>
      <w:proofErr w:type="spellEnd"/>
      <w:r w:rsidR="00B43EE2" w:rsidRPr="00B4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EE2">
        <w:rPr>
          <w:rFonts w:ascii="Times New Roman" w:hAnsi="Times New Roman" w:cs="Times New Roman"/>
          <w:b/>
          <w:sz w:val="24"/>
          <w:szCs w:val="24"/>
          <w:lang w:val="en-US"/>
        </w:rPr>
        <w:t>Kazakhstan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Pr="00B43EE2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>06</w:t>
      </w:r>
      <w:r w:rsidRPr="00B43EE2">
        <w:rPr>
          <w:rFonts w:ascii="Times New Roman" w:hAnsi="Times New Roman" w:cs="Times New Roman"/>
          <w:b/>
          <w:sz w:val="24"/>
          <w:szCs w:val="24"/>
        </w:rPr>
        <w:t>-</w:t>
      </w:r>
      <w:r w:rsidR="00B43EE2" w:rsidRPr="00B43EE2">
        <w:rPr>
          <w:rFonts w:ascii="Times New Roman" w:hAnsi="Times New Roman" w:cs="Times New Roman"/>
          <w:b/>
          <w:sz w:val="24"/>
          <w:szCs w:val="24"/>
        </w:rPr>
        <w:t>08</w:t>
      </w:r>
      <w:r w:rsidRPr="00B4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9A6">
        <w:rPr>
          <w:rFonts w:ascii="Times New Roman" w:hAnsi="Times New Roman" w:cs="Times New Roman"/>
          <w:b/>
          <w:sz w:val="24"/>
          <w:szCs w:val="24"/>
        </w:rPr>
        <w:t>ноября</w:t>
      </w:r>
      <w:r w:rsidRPr="00B43EE2">
        <w:rPr>
          <w:rFonts w:ascii="Times New Roman" w:hAnsi="Times New Roman" w:cs="Times New Roman"/>
          <w:b/>
          <w:sz w:val="24"/>
          <w:szCs w:val="24"/>
        </w:rPr>
        <w:t xml:space="preserve"> 2019 </w:t>
      </w:r>
      <w:r w:rsidRPr="00397AFF">
        <w:rPr>
          <w:rFonts w:ascii="Times New Roman" w:hAnsi="Times New Roman" w:cs="Times New Roman"/>
          <w:b/>
          <w:sz w:val="24"/>
          <w:szCs w:val="24"/>
        </w:rPr>
        <w:t>г</w:t>
      </w:r>
      <w:r w:rsidRPr="00B43EE2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Pr="00397AFF">
        <w:rPr>
          <w:rFonts w:ascii="Times New Roman" w:hAnsi="Times New Roman" w:cs="Times New Roman"/>
          <w:b/>
          <w:sz w:val="24"/>
          <w:szCs w:val="24"/>
        </w:rPr>
        <w:t>г</w:t>
      </w:r>
      <w:r w:rsidRPr="00B43EE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3EE2">
        <w:rPr>
          <w:rFonts w:ascii="Times New Roman" w:hAnsi="Times New Roman" w:cs="Times New Roman"/>
          <w:b/>
          <w:sz w:val="24"/>
          <w:szCs w:val="24"/>
        </w:rPr>
        <w:t>Алматы</w:t>
      </w:r>
      <w:r w:rsidR="00A02E88" w:rsidRPr="00B43EE2">
        <w:rPr>
          <w:rFonts w:ascii="Times New Roman" w:hAnsi="Times New Roman" w:cs="Times New Roman"/>
          <w:b/>
          <w:sz w:val="24"/>
          <w:szCs w:val="24"/>
        </w:rPr>
        <w:t>.</w:t>
      </w:r>
    </w:p>
    <w:p w:rsidR="00A85941" w:rsidRPr="00B43EE2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2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F03FE9">
        <w:trPr>
          <w:trHeight w:val="10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A6" w:rsidRPr="00D059A6" w:rsidRDefault="002E28DB" w:rsidP="00D059A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организации участия субъектов малого и среднего предпринимательства Республики Бурятия </w:t>
            </w:r>
            <w:bookmarkStart w:id="3" w:name="_Hlk2697352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97AFF" w:rsidRPr="00397AFF">
              <w:rPr>
                <w:rFonts w:ascii="Times New Roman" w:hAnsi="Times New Roman"/>
                <w:sz w:val="24"/>
                <w:szCs w:val="24"/>
              </w:rPr>
              <w:t xml:space="preserve">Международной </w:t>
            </w:r>
            <w:proofErr w:type="gramStart"/>
            <w:r w:rsidR="00397AFF" w:rsidRPr="00397AFF">
              <w:rPr>
                <w:rFonts w:ascii="Times New Roman" w:hAnsi="Times New Roman"/>
                <w:sz w:val="24"/>
                <w:szCs w:val="24"/>
              </w:rPr>
              <w:t>выставке  «</w:t>
            </w:r>
            <w:proofErr w:type="spellStart"/>
            <w:proofErr w:type="gramEnd"/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Agroworld</w:t>
            </w:r>
            <w:proofErr w:type="spellEnd"/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Kazakhstan</w:t>
            </w:r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2019</w:t>
            </w:r>
            <w:r w:rsidR="00397AFF" w:rsidRPr="00D059A6">
              <w:rPr>
                <w:rFonts w:ascii="Times New Roman" w:hAnsi="Times New Roman"/>
                <w:bCs/>
                <w:sz w:val="24"/>
                <w:szCs w:val="24"/>
              </w:rPr>
              <w:t xml:space="preserve">», </w:t>
            </w:r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</w:rPr>
              <w:t>06-08 ноября</w:t>
            </w:r>
            <w:r w:rsidR="00D059A6" w:rsidRPr="00D059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97AFF" w:rsidRPr="00D059A6">
              <w:rPr>
                <w:rFonts w:ascii="Times New Roman" w:hAnsi="Times New Roman"/>
                <w:bCs/>
                <w:sz w:val="24"/>
                <w:szCs w:val="24"/>
              </w:rPr>
              <w:t>2019 г., г</w:t>
            </w:r>
            <w:r w:rsidR="00D059A6" w:rsidRPr="00D059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059A6" w:rsidRPr="00D05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Алматы.</w:t>
            </w:r>
          </w:p>
          <w:bookmarkEnd w:id="3"/>
          <w:p w:rsidR="00A85941" w:rsidRPr="002E28DB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  <w:r w:rsidR="00CE1429">
              <w:rPr>
                <w:rFonts w:ascii="Times New Roman" w:hAnsi="Times New Roman"/>
                <w:sz w:val="24"/>
                <w:szCs w:val="24"/>
              </w:rPr>
              <w:t xml:space="preserve"> участия 1 субъекта МСП</w:t>
            </w:r>
            <w:r w:rsidRPr="00D65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Default="00CA210B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78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  <w:p w:rsidR="00397AFF" w:rsidRDefault="00397AFF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97AFF" w:rsidRPr="00F43ABE" w:rsidRDefault="00397AFF" w:rsidP="00397AFF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цену участия включается размер организационного взноса, подготовка и распечатка раздаточного материала</w:t>
            </w:r>
          </w:p>
        </w:tc>
      </w:tr>
      <w:tr w:rsidR="00397AFF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AFF" w:rsidRPr="00D6548C" w:rsidRDefault="00397AFF" w:rsidP="002E28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AFF" w:rsidRP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21696817"/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обязуется предоставить комплекс услуг:</w:t>
            </w:r>
          </w:p>
          <w:p w:rsid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- оплата регистрационного сбора за каждый субъект МСП</w:t>
            </w:r>
          </w:p>
          <w:p w:rsidR="00397AFF" w:rsidRP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подготовка раздаточного материала для Экспонентов (визиток - 500 шт., флаеров – 500 шт.)</w:t>
            </w:r>
          </w:p>
          <w:p w:rsidR="00397AFF" w:rsidRP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- выкуп коллективного стенда 2</w:t>
            </w:r>
            <w:r w:rsidR="00A763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97AFF" w:rsidRP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- оформление павильона, предоставление застройки и оборудования</w:t>
            </w:r>
          </w:p>
          <w:p w:rsidR="00397AFF" w:rsidRPr="00397AFF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FF">
              <w:rPr>
                <w:rFonts w:ascii="Times New Roman" w:eastAsia="Calibri" w:hAnsi="Times New Roman" w:cs="Times New Roman"/>
                <w:sz w:val="24"/>
                <w:szCs w:val="24"/>
              </w:rPr>
              <w:t>- предоставление услуг переводчика на время работы выставки</w:t>
            </w:r>
          </w:p>
          <w:p w:rsidR="00397AFF" w:rsidRDefault="00397AFF" w:rsidP="00397AFF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организовать трансфер</w:t>
            </w:r>
          </w:p>
          <w:p w:rsidR="00397AFF" w:rsidRDefault="00397AFF" w:rsidP="00397AFF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97AFF" w:rsidRDefault="00397AFF" w:rsidP="00397AFF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М</w:t>
            </w:r>
            <w:r w:rsidRPr="00CE1429">
              <w:rPr>
                <w:rFonts w:ascii="Times New Roman" w:hAnsi="Times New Roman"/>
                <w:sz w:val="24"/>
                <w:shd w:val="clear" w:color="auto" w:fill="FFFFFF"/>
              </w:rPr>
              <w:t xml:space="preserve">инимальное количество участников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коллективного стенда </w:t>
            </w:r>
            <w:r w:rsidRPr="00CE1429">
              <w:rPr>
                <w:rFonts w:ascii="Times New Roman" w:hAnsi="Times New Roman"/>
                <w:sz w:val="24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3</w:t>
            </w:r>
            <w:r w:rsidRPr="00CE1429">
              <w:rPr>
                <w:rFonts w:ascii="Times New Roman" w:hAnsi="Times New Roman"/>
                <w:sz w:val="24"/>
                <w:shd w:val="clear" w:color="auto" w:fill="FFFFFF"/>
              </w:rPr>
              <w:t xml:space="preserve"> СМСП</w:t>
            </w:r>
            <w:bookmarkEnd w:id="4"/>
          </w:p>
        </w:tc>
      </w:tr>
      <w:tr w:rsidR="00CE1429" w:rsidRPr="002E28DB" w:rsidTr="00397AFF">
        <w:trPr>
          <w:trHeight w:val="30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429" w:rsidRPr="00D6548C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стоимость услуг по договору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29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bookmarkStart w:id="5" w:name="_Hlk21696861"/>
            <w:bookmarkStart w:id="6" w:name="_GoBack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Рассчитывается по формуле:</w:t>
            </w:r>
          </w:p>
          <w:p w:rsidR="00CE1429" w:rsidRPr="00397AFF" w:rsidRDefault="00CE1429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531F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=</w:t>
            </w:r>
            <w:r w:rsidR="00397AFF" w:rsidRPr="00531F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>(</w:t>
            </w:r>
            <w:r w:rsidR="00397AFF" w:rsidRPr="00605B9B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1* </w:t>
            </w:r>
            <w:r w:rsidR="00397AFF" w:rsidRPr="00F36A57">
              <w:rPr>
                <w:rFonts w:ascii="Times New Roman" w:eastAsia="Times New Roman" w:hAnsi="Times New Roman"/>
                <w:sz w:val="23"/>
                <w:szCs w:val="23"/>
              </w:rPr>
              <w:t>кол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  <w:r w:rsidR="00397AFF" w:rsidRPr="00F36A57">
              <w:rPr>
                <w:rFonts w:ascii="Times New Roman" w:eastAsia="Times New Roman" w:hAnsi="Times New Roman"/>
                <w:sz w:val="23"/>
                <w:szCs w:val="23"/>
              </w:rPr>
              <w:t>во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="00397AFF" w:rsidRPr="00F36A57">
              <w:rPr>
                <w:rFonts w:ascii="Times New Roman" w:eastAsia="Times New Roman" w:hAnsi="Times New Roman"/>
                <w:sz w:val="23"/>
                <w:szCs w:val="23"/>
              </w:rPr>
              <w:t>СМСП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) + </w:t>
            </w:r>
            <w:r w:rsidR="00397AFF" w:rsidRPr="00605B9B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2 + </w:t>
            </w:r>
            <w:r w:rsidR="00397AFF" w:rsidRPr="00605B9B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3 + </w:t>
            </w:r>
            <w:r w:rsidR="00397AFF" w:rsidRPr="00605B9B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 xml:space="preserve">4 + </w:t>
            </w:r>
            <w:r w:rsidR="00397AFF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S</w:t>
            </w:r>
            <w:r w:rsidR="00397AFF" w:rsidRPr="00531FE5">
              <w:rPr>
                <w:rFonts w:ascii="Times New Roman" w:eastAsia="Times New Roman" w:hAnsi="Times New Roman"/>
                <w:sz w:val="23"/>
                <w:szCs w:val="23"/>
              </w:rPr>
              <w:t>5</w:t>
            </w:r>
          </w:p>
          <w:p w:rsidR="00364C4E" w:rsidRPr="00531FE5" w:rsidRDefault="00364C4E" w:rsidP="002E28DB">
            <w:pPr>
              <w:pStyle w:val="a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97AFF" w:rsidRDefault="00397AF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t>Стоимость участия 1 (одного) субъекта МСП</w:t>
            </w:r>
            <w:r w:rsidRPr="00C47A28">
              <w:t xml:space="preserve"> </w:t>
            </w:r>
            <w:r>
              <w:t>(</w:t>
            </w:r>
            <w:r>
              <w:rPr>
                <w:lang w:val="en-US"/>
              </w:rPr>
              <w:t>S</w:t>
            </w:r>
            <w:r>
              <w:t>1</w:t>
            </w:r>
            <w:r w:rsidRPr="00917A03">
              <w:t>)</w:t>
            </w:r>
          </w:p>
          <w:p w:rsidR="00397AFF" w:rsidRDefault="00397AF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t xml:space="preserve">Стоимость выставочного стенда </w:t>
            </w:r>
            <w:r w:rsidR="00531FE5">
              <w:t>(оформление, застройка, предоставление стандартной комплектации оборудования, доступ к Интернету, подключение к электроэнергии, уборка)</w:t>
            </w:r>
            <w:r>
              <w:t xml:space="preserve"> (</w:t>
            </w:r>
            <w:r>
              <w:rPr>
                <w:lang w:val="en-US"/>
              </w:rPr>
              <w:t>S</w:t>
            </w:r>
            <w:r>
              <w:t>2</w:t>
            </w:r>
            <w:r w:rsidRPr="00917A03">
              <w:t>)</w:t>
            </w:r>
          </w:p>
          <w:p w:rsidR="00397AFF" w:rsidRDefault="00397AF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t>Стоимость дополнительного оборудования (</w:t>
            </w:r>
            <w:r>
              <w:rPr>
                <w:lang w:val="en-US"/>
              </w:rPr>
              <w:t>S</w:t>
            </w:r>
            <w:r>
              <w:t>3</w:t>
            </w:r>
            <w:r w:rsidRPr="00917A03">
              <w:t>)</w:t>
            </w:r>
            <w:r>
              <w:t xml:space="preserve"> </w:t>
            </w:r>
          </w:p>
          <w:p w:rsidR="00397AFF" w:rsidRDefault="00397AF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t>Стоимость трансфера (</w:t>
            </w:r>
            <w:r>
              <w:rPr>
                <w:lang w:val="en-US"/>
              </w:rPr>
              <w:t>S</w:t>
            </w:r>
            <w:r>
              <w:t>4</w:t>
            </w:r>
            <w:r w:rsidRPr="00917A03">
              <w:t>)</w:t>
            </w:r>
          </w:p>
          <w:p w:rsidR="00397AFF" w:rsidRPr="00531FE5" w:rsidRDefault="00397AFF" w:rsidP="00397AFF">
            <w:pPr>
              <w:pStyle w:val="4"/>
              <w:shd w:val="clear" w:color="auto" w:fill="auto"/>
              <w:tabs>
                <w:tab w:val="left" w:pos="749"/>
              </w:tabs>
              <w:spacing w:before="0" w:after="0" w:line="274" w:lineRule="exact"/>
              <w:ind w:right="40" w:firstLine="0"/>
              <w:jc w:val="both"/>
            </w:pPr>
            <w:r>
              <w:t>Стоимость переводчика (</w:t>
            </w:r>
            <w:r>
              <w:rPr>
                <w:lang w:val="en-US"/>
              </w:rPr>
              <w:t>S</w:t>
            </w:r>
            <w:r w:rsidRPr="00531FE5">
              <w:t>5</w:t>
            </w:r>
            <w:r>
              <w:t>)</w:t>
            </w:r>
          </w:p>
          <w:p w:rsidR="00076230" w:rsidRPr="00531FE5" w:rsidRDefault="00076230" w:rsidP="00CE1429">
            <w:pPr>
              <w:pStyle w:val="a9"/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</w:p>
          <w:p w:rsidR="00B37EBA" w:rsidRPr="00076230" w:rsidRDefault="00076230" w:rsidP="00CE1429">
            <w:pPr>
              <w:pStyle w:val="a9"/>
              <w:jc w:val="both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Общая стоимость услуг не может составлять более 1 </w:t>
            </w:r>
            <w:r w:rsidR="00CA210B">
              <w:rPr>
                <w:rFonts w:ascii="Times New Roman" w:hAnsi="Times New Roman"/>
                <w:sz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00 000 руб.</w:t>
            </w:r>
            <w:bookmarkEnd w:id="5"/>
            <w:bookmarkEnd w:id="6"/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>с момента заключения договора по «</w:t>
            </w:r>
            <w:r w:rsidR="00CA210B">
              <w:rPr>
                <w:rFonts w:ascii="Times New Roman" w:hAnsi="Times New Roman"/>
                <w:sz w:val="24"/>
              </w:rPr>
              <w:t>08</w:t>
            </w:r>
            <w:r w:rsidRPr="00CE1429">
              <w:rPr>
                <w:rFonts w:ascii="Times New Roman" w:hAnsi="Times New Roman"/>
                <w:sz w:val="24"/>
              </w:rPr>
              <w:t xml:space="preserve">» </w:t>
            </w:r>
            <w:r w:rsidR="00CA210B">
              <w:rPr>
                <w:rFonts w:ascii="Times New Roman" w:hAnsi="Times New Roman"/>
                <w:sz w:val="24"/>
              </w:rPr>
              <w:t>ноября</w:t>
            </w:r>
            <w:r w:rsidRPr="00CE1429">
              <w:rPr>
                <w:rFonts w:ascii="Times New Roman" w:hAnsi="Times New Roman"/>
                <w:sz w:val="24"/>
              </w:rPr>
              <w:t xml:space="preserve"> 2019 года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Экспортно ориентированные субъекты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381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397AFF" w:rsidRPr="00303280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397AFF" w:rsidRPr="00303280" w:rsidRDefault="00397AFF" w:rsidP="00397A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397AFF" w:rsidRPr="002E28DB" w:rsidRDefault="00397AFF" w:rsidP="00397AFF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397AF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CA210B">
              <w:rPr>
                <w:rFonts w:ascii="Times New Roman" w:hAnsi="Times New Roman"/>
                <w:sz w:val="24"/>
                <w:szCs w:val="24"/>
              </w:rPr>
              <w:t>25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CA210B">
              <w:rPr>
                <w:rFonts w:ascii="Times New Roman" w:hAnsi="Times New Roman"/>
                <w:sz w:val="24"/>
                <w:szCs w:val="24"/>
              </w:rPr>
              <w:t>10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CA210B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A763FE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  <w:r w:rsidR="00397AFF">
              <w:rPr>
                <w:rFonts w:ascii="Times New Roman" w:hAnsi="Times New Roman"/>
                <w:sz w:val="24"/>
                <w:szCs w:val="24"/>
              </w:rPr>
              <w:t>, Шалобало Юлия Сергеевна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</w:t>
            </w:r>
          </w:p>
          <w:p w:rsidR="001416C4" w:rsidRPr="00397AFF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6" w:history="1">
              <w:r w:rsidR="00397AFF" w:rsidRPr="001512E8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olga.halbaeva@msp03.ru</w:t>
              </w:r>
            </w:hyperlink>
            <w:r w:rsidR="00397AFF" w:rsidRPr="00397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397AFF" w:rsidRPr="00397AFF"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uliya.shalobalo@msp03.ru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9"/>
  </w:num>
  <w:num w:numId="5">
    <w:abstractNumId w:val="15"/>
  </w:num>
  <w:num w:numId="6">
    <w:abstractNumId w:val="16"/>
  </w:num>
  <w:num w:numId="7">
    <w:abstractNumId w:val="6"/>
  </w:num>
  <w:num w:numId="8">
    <w:abstractNumId w:val="19"/>
  </w:num>
  <w:num w:numId="9">
    <w:abstractNumId w:val="7"/>
  </w:num>
  <w:num w:numId="10">
    <w:abstractNumId w:val="14"/>
  </w:num>
  <w:num w:numId="11">
    <w:abstractNumId w:val="17"/>
  </w:num>
  <w:num w:numId="12">
    <w:abstractNumId w:val="3"/>
  </w:num>
  <w:num w:numId="13">
    <w:abstractNumId w:val="20"/>
  </w:num>
  <w:num w:numId="14">
    <w:abstractNumId w:val="18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97AFF"/>
    <w:rsid w:val="003F65FF"/>
    <w:rsid w:val="004027AB"/>
    <w:rsid w:val="004164CE"/>
    <w:rsid w:val="00447210"/>
    <w:rsid w:val="00491D38"/>
    <w:rsid w:val="004C34F8"/>
    <w:rsid w:val="004D0F31"/>
    <w:rsid w:val="004E628D"/>
    <w:rsid w:val="004F2C45"/>
    <w:rsid w:val="005037BB"/>
    <w:rsid w:val="00523150"/>
    <w:rsid w:val="00531FE5"/>
    <w:rsid w:val="00547253"/>
    <w:rsid w:val="0055127F"/>
    <w:rsid w:val="00560A8C"/>
    <w:rsid w:val="00574F10"/>
    <w:rsid w:val="005A5ADD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763FE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43EE2"/>
    <w:rsid w:val="00B7372E"/>
    <w:rsid w:val="00B86AFB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210B"/>
    <w:rsid w:val="00CA6448"/>
    <w:rsid w:val="00CE1429"/>
    <w:rsid w:val="00CE1B6E"/>
    <w:rsid w:val="00D059A6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40F0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97AFF"/>
    <w:rPr>
      <w:b/>
      <w:bCs/>
    </w:rPr>
  </w:style>
  <w:style w:type="character" w:customStyle="1" w:styleId="ad">
    <w:name w:val="Основной текст_"/>
    <w:basedOn w:val="a0"/>
    <w:link w:val="4"/>
    <w:rsid w:val="00397AF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rsid w:val="00397AF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styleId="ae">
    <w:name w:val="Unresolved Mention"/>
    <w:basedOn w:val="a0"/>
    <w:uiPriority w:val="99"/>
    <w:semiHidden/>
    <w:unhideWhenUsed/>
    <w:rsid w:val="0039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ga.halbaeva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C8CD2-F3E4-4193-8DF4-90399A05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20</cp:revision>
  <cp:lastPrinted>2018-06-15T06:31:00Z</cp:lastPrinted>
  <dcterms:created xsi:type="dcterms:W3CDTF">2019-03-19T07:59:00Z</dcterms:created>
  <dcterms:modified xsi:type="dcterms:W3CDTF">2019-10-11T06:37:00Z</dcterms:modified>
</cp:coreProperties>
</file>