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50F1E6B"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0825BF">
        <w:rPr>
          <w:rFonts w:ascii="Times New Roman" w:eastAsia="Times New Roman" w:hAnsi="Times New Roman" w:cs="Times New Roman"/>
          <w:b/>
          <w:color w:val="000000" w:themeColor="text1"/>
          <w:lang w:eastAsia="ru-RU"/>
        </w:rPr>
        <w:t>16</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215EFA">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3327CEF9"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0825BF">
        <w:rPr>
          <w:rFonts w:ascii="Times New Roman" w:eastAsiaTheme="minorEastAsia" w:hAnsi="Times New Roman" w:cs="Times New Roman"/>
          <w:b/>
          <w:bCs/>
          <w:color w:val="000000"/>
          <w:lang w:eastAsia="ru-RU"/>
        </w:rPr>
        <w:t>187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93BE5ED"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2E5A95">
              <w:rPr>
                <w:rFonts w:ascii="Times New Roman" w:eastAsiaTheme="minorEastAsia" w:hAnsi="Times New Roman"/>
                <w:color w:val="000000"/>
                <w:lang w:eastAsia="ru-RU"/>
              </w:rPr>
              <w:t>с</w:t>
            </w:r>
            <w:r w:rsidR="002E5A95" w:rsidRPr="002E5A95">
              <w:rPr>
                <w:rFonts w:ascii="Times New Roman" w:eastAsiaTheme="minorEastAsia" w:hAnsi="Times New Roman"/>
                <w:color w:val="000000"/>
                <w:lang w:eastAsia="ru-RU"/>
              </w:rPr>
              <w:t>одействи</w:t>
            </w:r>
            <w:r w:rsidR="002E5A95">
              <w:rPr>
                <w:rFonts w:ascii="Times New Roman" w:eastAsiaTheme="minorEastAsia" w:hAnsi="Times New Roman"/>
                <w:color w:val="000000"/>
                <w:lang w:eastAsia="ru-RU"/>
              </w:rPr>
              <w:t>ю</w:t>
            </w:r>
            <w:r w:rsidR="002E5A95"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0825BF">
              <w:rPr>
                <w:rFonts w:ascii="Times New Roman" w:eastAsiaTheme="minorEastAsia" w:hAnsi="Times New Roman"/>
                <w:color w:val="000000"/>
                <w:lang w:eastAsia="ru-RU"/>
              </w:rPr>
              <w:t>.</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D2C0C5F" w:rsidR="00A731BF" w:rsidRPr="003D59FC" w:rsidRDefault="000825BF"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100</w:t>
            </w:r>
            <w:r w:rsidR="00A731BF" w:rsidRPr="003D59FC">
              <w:rPr>
                <w:rFonts w:ascii="Times New Roman" w:eastAsia="Times New Roman" w:hAnsi="Times New Roman" w:cs="Times New Roman"/>
                <w:color w:val="000000" w:themeColor="text1"/>
                <w:lang w:eastAsia="ru-RU"/>
              </w:rPr>
              <w:t> 000 (</w:t>
            </w:r>
            <w:r w:rsidR="00B44B7B">
              <w:rPr>
                <w:rFonts w:ascii="Times New Roman" w:eastAsia="Times New Roman" w:hAnsi="Times New Roman" w:cs="Times New Roman"/>
                <w:color w:val="000000" w:themeColor="text1"/>
                <w:lang w:eastAsia="ru-RU"/>
              </w:rPr>
              <w:t xml:space="preserve">сто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187DDC44"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 xml:space="preserve">Не позднее </w:t>
            </w:r>
            <w:r w:rsidR="00356898">
              <w:rPr>
                <w:rFonts w:ascii="Times New Roman" w:hAnsi="Times New Roman" w:cs="Times New Roman"/>
                <w:color w:val="000000" w:themeColor="text1"/>
              </w:rPr>
              <w:t>90</w:t>
            </w:r>
            <w:r w:rsidRPr="00BC682F">
              <w:rPr>
                <w:rFonts w:ascii="Times New Roman" w:hAnsi="Times New Roman" w:cs="Times New Roman"/>
                <w:color w:val="000000" w:themeColor="text1"/>
              </w:rPr>
              <w:t xml:space="preserve">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19C08046" w:rsidR="0057193E" w:rsidRPr="0057193E" w:rsidRDefault="00F46D11"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0825BF">
              <w:rPr>
                <w:rFonts w:ascii="Times New Roman" w:hAnsi="Times New Roman" w:cs="Times New Roman"/>
                <w:b/>
                <w:bCs/>
              </w:rPr>
              <w:t>Миронов Николай Николаевич</w:t>
            </w:r>
          </w:p>
          <w:p w14:paraId="4BD6A6B2" w14:textId="215BBC2C"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0825BF">
              <w:rPr>
                <w:rFonts w:ascii="Times New Roman" w:eastAsiaTheme="minorEastAsia" w:hAnsi="Times New Roman" w:cs="Times New Roman"/>
                <w:color w:val="000000"/>
                <w:lang w:eastAsia="ru-RU"/>
              </w:rPr>
              <w:t>032500290935</w:t>
            </w:r>
          </w:p>
          <w:p w14:paraId="04C5C812" w14:textId="71E34271"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0825BF">
              <w:rPr>
                <w:rFonts w:ascii="Times New Roman" w:hAnsi="Times New Roman" w:cs="Times New Roman"/>
                <w:shd w:val="clear" w:color="auto" w:fill="FFFFFF"/>
              </w:rPr>
              <w:t>311032714000267</w:t>
            </w:r>
          </w:p>
          <w:p w14:paraId="0FB6A5CB" w14:textId="6B456E45" w:rsidR="00F46D11" w:rsidRPr="000825BF" w:rsidRDefault="00600097" w:rsidP="00F46D11">
            <w:pPr>
              <w:autoSpaceDE w:val="0"/>
              <w:autoSpaceDN w:val="0"/>
              <w:adjustRightInd w:val="0"/>
              <w:spacing w:after="0" w:line="240" w:lineRule="auto"/>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0825BF" w:rsidRPr="000825BF">
              <w:rPr>
                <w:rFonts w:ascii="Times New Roman" w:hAnsi="Times New Roman"/>
                <w:color w:val="000000"/>
              </w:rPr>
              <w:t xml:space="preserve">ул. Ключевская, д. 54В, </w:t>
            </w:r>
            <w:proofErr w:type="spellStart"/>
            <w:r w:rsidR="000825BF" w:rsidRPr="000825BF">
              <w:rPr>
                <w:rFonts w:ascii="Times New Roman" w:hAnsi="Times New Roman"/>
                <w:color w:val="000000"/>
              </w:rPr>
              <w:t>бл</w:t>
            </w:r>
            <w:proofErr w:type="spellEnd"/>
            <w:r w:rsidR="000825BF" w:rsidRPr="000825BF">
              <w:rPr>
                <w:rFonts w:ascii="Times New Roman" w:hAnsi="Times New Roman"/>
                <w:color w:val="000000"/>
              </w:rPr>
              <w:t xml:space="preserve">. Д, кв. 98, г. Улан-Удэ, </w:t>
            </w:r>
            <w:r w:rsidR="000825BF">
              <w:rPr>
                <w:rFonts w:ascii="Times New Roman" w:hAnsi="Times New Roman"/>
                <w:color w:val="000000"/>
              </w:rPr>
              <w:t xml:space="preserve">Республика </w:t>
            </w:r>
            <w:r w:rsidR="000825BF" w:rsidRPr="000825BF">
              <w:rPr>
                <w:rFonts w:ascii="Times New Roman" w:hAnsi="Times New Roman"/>
                <w:color w:val="000000"/>
              </w:rPr>
              <w:t>Бурятия, Россия, 670013</w:t>
            </w:r>
          </w:p>
          <w:p w14:paraId="3BC4087D" w14:textId="6DF553F1" w:rsidR="00A731BF" w:rsidRPr="003D59FC"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0825BF">
              <w:rPr>
                <w:rFonts w:ascii="Times New Roman" w:eastAsiaTheme="minorEastAsia" w:hAnsi="Times New Roman" w:cs="Times New Roman"/>
                <w:color w:val="000000"/>
                <w:lang w:eastAsia="ru-RU"/>
              </w:rPr>
              <w:t>89676212902</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0825BF" w:rsidRPr="000825BF">
              <w:rPr>
                <w:rFonts w:ascii="Times New Roman" w:hAnsi="Times New Roman" w:cs="Times New Roman"/>
              </w:rPr>
              <w:t>Миронов Николай Николаевич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AFE2B38"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0825BF">
              <w:rPr>
                <w:rFonts w:ascii="Times New Roman" w:eastAsiaTheme="minorEastAsia" w:hAnsi="Times New Roman"/>
                <w:b/>
                <w:bCs/>
                <w:color w:val="000000"/>
                <w:lang w:eastAsia="ru-RU"/>
              </w:rPr>
              <w:t>29</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6125A5">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1B047A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0825BF">
              <w:rPr>
                <w:rFonts w:ascii="Times New Roman" w:eastAsiaTheme="minorEastAsia" w:hAnsi="Times New Roman" w:cs="Times New Roman"/>
                <w:b/>
                <w:bCs/>
                <w:i/>
                <w:color w:val="000000"/>
                <w:lang w:eastAsia="ru-RU"/>
              </w:rPr>
              <w:t>187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02AF6">
              <w:rPr>
                <w:rFonts w:ascii="Times New Roman" w:eastAsia="Calibri" w:hAnsi="Times New Roman" w:cs="Times New Roman"/>
                <w:b/>
                <w:bCs/>
                <w:i/>
              </w:rPr>
              <w:t>16</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215EFA">
              <w:rPr>
                <w:rFonts w:ascii="Times New Roman" w:eastAsia="Calibri" w:hAnsi="Times New Roman" w:cs="Times New Roman"/>
                <w:b/>
                <w:bCs/>
                <w:i/>
              </w:rPr>
              <w:t>1</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F50084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602AF6">
        <w:rPr>
          <w:rFonts w:ascii="Times New Roman" w:eastAsia="Times New Roman" w:hAnsi="Times New Roman" w:cs="Times New Roman"/>
          <w:b/>
          <w:color w:val="000000" w:themeColor="text1"/>
          <w:lang w:eastAsia="ru-RU"/>
        </w:rPr>
        <w:t>187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02AF6">
        <w:rPr>
          <w:rFonts w:ascii="Times New Roman" w:eastAsia="Times New Roman" w:hAnsi="Times New Roman" w:cs="Times New Roman"/>
          <w:b/>
          <w:color w:val="000000" w:themeColor="text1"/>
          <w:lang w:eastAsia="ru-RU"/>
        </w:rPr>
        <w:t>16</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2A0FCF5" w:rsidR="00900256" w:rsidRPr="0057193E" w:rsidRDefault="00A731BF" w:rsidP="0083607E">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ю</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0083607E" w:rsidRPr="002E5A95">
        <w:rPr>
          <w:rFonts w:ascii="Times New Roman" w:eastAsiaTheme="minorEastAsia" w:hAnsi="Times New Roman"/>
          <w:color w:val="000000"/>
          <w:lang w:eastAsia="ru-RU"/>
        </w:rPr>
        <w:t>другое)</w:t>
      </w:r>
      <w:r w:rsidR="0083607E"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Pr="00BC682F">
        <w:rPr>
          <w:rFonts w:ascii="Times New Roman" w:hAnsi="Times New Roman" w:cs="Times New Roman"/>
          <w:color w:val="000000" w:themeColor="text1"/>
        </w:rPr>
        <w:t xml:space="preserve"> </w:t>
      </w:r>
      <w:r w:rsidR="00900256">
        <w:rPr>
          <w:rFonts w:ascii="Times New Roman" w:hAnsi="Times New Roman" w:cs="Times New Roman"/>
          <w:b/>
          <w:bCs/>
        </w:rPr>
        <w:t xml:space="preserve">ИП </w:t>
      </w:r>
      <w:r w:rsidR="00602AF6">
        <w:rPr>
          <w:rFonts w:ascii="Times New Roman" w:hAnsi="Times New Roman" w:cs="Times New Roman"/>
          <w:b/>
          <w:bCs/>
        </w:rPr>
        <w:t>Миронов Николай Николаевич</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2E5A95">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134F35C" w:rsidR="00A731BF" w:rsidRPr="0057193E" w:rsidRDefault="00A731BF" w:rsidP="002E5A95">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ю</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83607E" w:rsidRPr="003D59FC">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900256">
        <w:rPr>
          <w:rFonts w:ascii="Times New Roman" w:hAnsi="Times New Roman" w:cs="Times New Roman"/>
          <w:b/>
          <w:bCs/>
        </w:rPr>
        <w:t xml:space="preserve">ИП </w:t>
      </w:r>
      <w:r w:rsidR="00602AF6">
        <w:rPr>
          <w:rFonts w:ascii="Times New Roman" w:hAnsi="Times New Roman" w:cs="Times New Roman"/>
          <w:b/>
          <w:bCs/>
        </w:rPr>
        <w:t>Миронов Николай Николаевич</w:t>
      </w:r>
      <w:r w:rsidR="0086000B"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CCCDC99"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602AF6">
        <w:rPr>
          <w:rFonts w:ascii="Times New Roman" w:eastAsiaTheme="minorEastAsia" w:hAnsi="Times New Roman" w:cs="Times New Roman"/>
          <w:b/>
          <w:bCs/>
          <w:color w:val="000000"/>
          <w:lang w:eastAsia="ru-RU"/>
        </w:rPr>
        <w:t>187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602AF6">
        <w:rPr>
          <w:rFonts w:ascii="Times New Roman" w:eastAsiaTheme="minorEastAsia" w:hAnsi="Times New Roman" w:cs="Times New Roman"/>
          <w:b/>
          <w:bCs/>
          <w:color w:val="000000"/>
          <w:lang w:eastAsia="ru-RU"/>
        </w:rPr>
        <w:t>16</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247B1CF"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900256">
        <w:rPr>
          <w:rFonts w:ascii="Times New Roman" w:hAnsi="Times New Roman" w:cs="Times New Roman"/>
          <w:b/>
          <w:bCs/>
        </w:rPr>
        <w:t xml:space="preserve">ИП </w:t>
      </w:r>
      <w:r w:rsidR="00602AF6">
        <w:rPr>
          <w:rFonts w:ascii="Times New Roman" w:hAnsi="Times New Roman" w:cs="Times New Roman"/>
          <w:b/>
          <w:bCs/>
        </w:rPr>
        <w:t>Миронов Николай Николаевич</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BDB95A2" w:rsidR="00631B7B" w:rsidRPr="006127CE" w:rsidRDefault="00631B7B" w:rsidP="00631B7B">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е</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6127CE">
        <w:rPr>
          <w:rFonts w:ascii="Times New Roman" w:eastAsiaTheme="minorEastAsia" w:hAnsi="Times New Roman"/>
          <w:color w:val="000000"/>
          <w:lang w:eastAsia="ru-RU"/>
        </w:rPr>
        <w:t xml:space="preserve">. </w:t>
      </w:r>
      <w:r w:rsidR="006127CE" w:rsidRPr="006127CE">
        <w:rPr>
          <w:rFonts w:ascii="Times New Roman" w:eastAsiaTheme="minorEastAsia" w:hAnsi="Times New Roman"/>
          <w:b/>
          <w:bCs/>
          <w:color w:val="000000"/>
          <w:lang w:eastAsia="ru-RU"/>
        </w:rPr>
        <w:t>Класс МКТУ: 29,30</w:t>
      </w:r>
      <w:r w:rsidR="006127CE">
        <w:rPr>
          <w:rFonts w:ascii="Times New Roman" w:eastAsiaTheme="minorEastAsia" w:hAnsi="Times New Roman"/>
          <w:b/>
          <w:bCs/>
          <w:color w:val="000000"/>
          <w:lang w:eastAsia="ru-RU"/>
        </w:rPr>
        <w:t>.</w:t>
      </w:r>
    </w:p>
    <w:p w14:paraId="2DFB819C" w14:textId="3F590573"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5532E98A" w14:textId="77777777" w:rsidR="00223AE6" w:rsidRDefault="00223AE6" w:rsidP="006125A5">
      <w:pPr>
        <w:spacing w:after="0" w:line="240" w:lineRule="auto"/>
        <w:jc w:val="both"/>
        <w:rPr>
          <w:rFonts w:ascii="Times New Roman" w:eastAsia="Calibri" w:hAnsi="Times New Roman" w:cs="Times New Roman"/>
          <w:b/>
          <w:color w:val="000000"/>
        </w:rPr>
      </w:pPr>
    </w:p>
    <w:p w14:paraId="6FAC8395" w14:textId="77777777" w:rsidR="006127CE" w:rsidRDefault="006127CE" w:rsidP="006127CE">
      <w:pPr>
        <w:spacing w:after="0" w:line="240" w:lineRule="auto"/>
        <w:ind w:left="709" w:hanging="709"/>
        <w:jc w:val="center"/>
        <w:rPr>
          <w:rFonts w:ascii="Times New Roman" w:hAnsi="Times New Roman"/>
          <w:b/>
          <w:color w:val="000000" w:themeColor="text1"/>
          <w:sz w:val="24"/>
          <w:szCs w:val="24"/>
        </w:rPr>
      </w:pPr>
      <w:r>
        <w:rPr>
          <w:rFonts w:ascii="Times New Roman" w:hAnsi="Times New Roman"/>
          <w:b/>
          <w:color w:val="000000" w:themeColor="text1"/>
          <w:sz w:val="24"/>
          <w:szCs w:val="24"/>
        </w:rPr>
        <w:t>Доработка товарного знака</w:t>
      </w:r>
    </w:p>
    <w:p w14:paraId="4840DD8B" w14:textId="042DDC59" w:rsidR="006127CE" w:rsidRDefault="006127CE" w:rsidP="006127CE">
      <w:pPr>
        <w:pStyle w:val="before"/>
        <w:spacing w:before="40"/>
        <w:rPr>
          <w:rFonts w:ascii="Times New Roman" w:hAnsi="Times New Roman" w:cs="Times New Roman"/>
          <w:bCs/>
          <w:sz w:val="24"/>
          <w:szCs w:val="24"/>
          <w:lang w:val="ru-RU"/>
        </w:rPr>
      </w:pPr>
      <w:r>
        <w:rPr>
          <w:rFonts w:ascii="Times New Roman" w:hAnsi="Times New Roman" w:cs="Times New Roman"/>
          <w:bCs/>
          <w:sz w:val="24"/>
          <w:szCs w:val="24"/>
          <w:lang w:val="ru-RU"/>
        </w:rPr>
        <w:t>Бренд организации должен быть понятен и доступен для людей легко восприниматься;</w:t>
      </w:r>
    </w:p>
    <w:p w14:paraId="7B80056B" w14:textId="26AEE8B0" w:rsidR="006127CE" w:rsidRDefault="006127CE" w:rsidP="006127CE">
      <w:pPr>
        <w:pStyle w:val="before"/>
        <w:spacing w:before="40"/>
        <w:rPr>
          <w:rFonts w:ascii="Times New Roman" w:hAnsi="Times New Roman" w:cs="Times New Roman"/>
          <w:bCs/>
          <w:sz w:val="24"/>
          <w:szCs w:val="24"/>
          <w:lang w:val="ru-RU"/>
        </w:rPr>
      </w:pPr>
      <w:r>
        <w:rPr>
          <w:rFonts w:ascii="Times New Roman" w:hAnsi="Times New Roman" w:cs="Times New Roman"/>
          <w:bCs/>
          <w:sz w:val="24"/>
          <w:szCs w:val="24"/>
          <w:lang w:val="ru-RU"/>
        </w:rPr>
        <w:t>Логотип: - товарный знак (варианты использования цвета)</w:t>
      </w:r>
    </w:p>
    <w:p w14:paraId="795CD799" w14:textId="7BBD2678" w:rsidR="006127CE" w:rsidRPr="00DC5794" w:rsidRDefault="006127CE" w:rsidP="006127CE">
      <w:pPr>
        <w:pStyle w:val="before"/>
        <w:spacing w:before="40"/>
        <w:rPr>
          <w:lang w:val="ru-RU"/>
        </w:rPr>
      </w:pPr>
      <w:r>
        <w:rPr>
          <w:rFonts w:ascii="Times New Roman" w:hAnsi="Times New Roman" w:cs="Times New Roman"/>
          <w:bCs/>
          <w:sz w:val="24"/>
          <w:szCs w:val="24"/>
          <w:lang w:val="ru-RU"/>
        </w:rPr>
        <w:t>Иконка (</w:t>
      </w:r>
      <w:r>
        <w:rPr>
          <w:rFonts w:ascii="Times New Roman" w:hAnsi="Times New Roman" w:cs="Times New Roman"/>
          <w:bCs/>
          <w:sz w:val="24"/>
          <w:szCs w:val="24"/>
          <w:lang w:val="en-US"/>
        </w:rPr>
        <w:t>Favicon</w:t>
      </w:r>
      <w:r w:rsidRPr="00402D91">
        <w:rPr>
          <w:rFonts w:ascii="Times New Roman" w:hAnsi="Times New Roman" w:cs="Times New Roman"/>
          <w:bCs/>
          <w:sz w:val="24"/>
          <w:szCs w:val="24"/>
          <w:lang w:val="ru-RU"/>
        </w:rPr>
        <w:t xml:space="preserve">) </w:t>
      </w:r>
    </w:p>
    <w:p w14:paraId="79C800FD" w14:textId="1D362807" w:rsidR="006127CE" w:rsidRDefault="006127CE" w:rsidP="006127CE">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Требования к результату выполнения работ: должно быть понятно, чем организация занимается, направленность.</w:t>
      </w:r>
    </w:p>
    <w:p w14:paraId="41AA66AA" w14:textId="77777777" w:rsidR="00223AE6" w:rsidRDefault="00223AE6" w:rsidP="006127CE">
      <w:pPr>
        <w:pStyle w:val="before"/>
        <w:spacing w:before="40"/>
        <w:rPr>
          <w:rFonts w:ascii="Times New Roman" w:eastAsiaTheme="minorEastAsia" w:hAnsi="Times New Roman" w:cs="Times New Roman"/>
          <w:color w:val="000000"/>
          <w:sz w:val="24"/>
          <w:szCs w:val="24"/>
          <w:lang w:val="ru-RU"/>
        </w:rPr>
      </w:pPr>
    </w:p>
    <w:p w14:paraId="50BEB302" w14:textId="17AD552A" w:rsidR="006127CE" w:rsidRDefault="006127CE" w:rsidP="006127CE">
      <w:pPr>
        <w:pStyle w:val="before"/>
        <w:spacing w:before="40"/>
        <w:jc w:val="center"/>
        <w:rPr>
          <w:rFonts w:ascii="Times New Roman" w:eastAsiaTheme="minorEastAsia" w:hAnsi="Times New Roman" w:cs="Times New Roman"/>
          <w:b/>
          <w:bCs/>
          <w:color w:val="000000"/>
          <w:sz w:val="24"/>
          <w:szCs w:val="24"/>
          <w:lang w:val="ru-RU"/>
        </w:rPr>
      </w:pPr>
      <w:r w:rsidRPr="00EB0132">
        <w:rPr>
          <w:rFonts w:ascii="Times New Roman" w:eastAsiaTheme="minorEastAsia" w:hAnsi="Times New Roman" w:cs="Times New Roman"/>
          <w:b/>
          <w:bCs/>
          <w:color w:val="000000"/>
          <w:sz w:val="24"/>
          <w:szCs w:val="24"/>
          <w:lang w:val="ru-RU"/>
        </w:rPr>
        <w:t>Регистрация товарного знака</w:t>
      </w:r>
    </w:p>
    <w:p w14:paraId="3EE62433" w14:textId="04542037" w:rsidR="006127CE" w:rsidRPr="00EB0132" w:rsidRDefault="006127CE" w:rsidP="006127CE">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Изучение и предварительная экспертиза товарного знака.</w:t>
      </w:r>
    </w:p>
    <w:p w14:paraId="1E079584" w14:textId="7285E1B6" w:rsidR="006127CE" w:rsidRPr="00EB0132" w:rsidRDefault="006127CE" w:rsidP="006127CE">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23FFAC64" w14:textId="2D8A4CA8" w:rsidR="006127CE" w:rsidRPr="00EB0132" w:rsidRDefault="006127CE" w:rsidP="006127CE">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 xml:space="preserve">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EB0132">
        <w:rPr>
          <w:rFonts w:ascii="Times New Roman" w:eastAsiaTheme="minorEastAsia" w:hAnsi="Times New Roman" w:cs="Times New Roman"/>
          <w:color w:val="000000"/>
          <w:sz w:val="24"/>
          <w:szCs w:val="24"/>
          <w:lang w:val="ru-RU"/>
        </w:rPr>
        <w:t>охраноспособности</w:t>
      </w:r>
      <w:proofErr w:type="spellEnd"/>
      <w:r w:rsidRPr="00EB0132">
        <w:rPr>
          <w:rFonts w:ascii="Times New Roman" w:eastAsiaTheme="minorEastAsia" w:hAnsi="Times New Roman" w:cs="Times New Roman"/>
          <w:color w:val="000000"/>
          <w:sz w:val="24"/>
          <w:szCs w:val="24"/>
          <w:lang w:val="ru-RU"/>
        </w:rPr>
        <w:t xml:space="preserve">. </w:t>
      </w:r>
    </w:p>
    <w:p w14:paraId="22853E17" w14:textId="25A90B48" w:rsidR="006127CE" w:rsidRPr="00EB0132" w:rsidRDefault="006127CE" w:rsidP="006127CE">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Подбор классов Международной классификации товаров и услуг, учрежденной Международным Соглашением о классификациях (</w:t>
      </w:r>
      <w:proofErr w:type="spellStart"/>
      <w:r w:rsidRPr="00EB0132">
        <w:rPr>
          <w:rFonts w:ascii="Times New Roman" w:eastAsiaTheme="minorEastAsia" w:hAnsi="Times New Roman" w:cs="Times New Roman"/>
          <w:color w:val="000000"/>
          <w:sz w:val="24"/>
          <w:szCs w:val="24"/>
          <w:lang w:val="ru-RU"/>
        </w:rPr>
        <w:t>Ниццкое</w:t>
      </w:r>
      <w:proofErr w:type="spellEnd"/>
      <w:r w:rsidRPr="00EB0132">
        <w:rPr>
          <w:rFonts w:ascii="Times New Roman" w:eastAsiaTheme="minorEastAsia" w:hAnsi="Times New Roman" w:cs="Times New Roman"/>
          <w:color w:val="000000"/>
          <w:sz w:val="24"/>
          <w:szCs w:val="24"/>
          <w:lang w:val="ru-RU"/>
        </w:rPr>
        <w:t xml:space="preserve"> соглашение), в рамках которых будет действовать правовая охрана товарного знак.</w:t>
      </w:r>
    </w:p>
    <w:p w14:paraId="6CABAFF3" w14:textId="7277AAD2" w:rsidR="006127CE" w:rsidRPr="00EB0132" w:rsidRDefault="006127CE" w:rsidP="006127CE">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Составление заявки на регистрацию товарного знака по установленной уполномоченным органом (ФИПС) форме от имени и в интересах Получателя услуг.</w:t>
      </w:r>
    </w:p>
    <w:p w14:paraId="1189F4F1" w14:textId="6801D216" w:rsidR="006127CE" w:rsidRPr="00EB0132" w:rsidRDefault="006127CE" w:rsidP="006127CE">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Расчёт и оплата стоимости государственной пошлины, необходимой для регистрации товарного знака в соответствии с законодательством Российской Федерации.</w:t>
      </w:r>
    </w:p>
    <w:p w14:paraId="7486782C" w14:textId="440C1D87" w:rsidR="006127CE" w:rsidRPr="00EB0132" w:rsidRDefault="006127CE" w:rsidP="006127CE">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Формирование и направление в уполномоченный орган пакета документов, необходимого для регистрации товарного знака.</w:t>
      </w:r>
    </w:p>
    <w:p w14:paraId="65BD19C8" w14:textId="219CC4C7" w:rsidR="006127CE" w:rsidRPr="00EB0132" w:rsidRDefault="006127CE" w:rsidP="006127CE">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Сопровождение заявки по регистрации товарного знака, в том числе осуществление взаимодействия с уполномоченными органами на всех этапах оказания услуги до выдачи свидетельства о праве на товарный знак (составление и направление ответов на запросы, поступившие в адрес Получателя услуг и др.).</w:t>
      </w:r>
    </w:p>
    <w:p w14:paraId="2292F9C8" w14:textId="08D96574" w:rsidR="006127CE" w:rsidRDefault="006127CE" w:rsidP="006127CE">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Получение от имени и в интересах Получателя услуг свидетельства о праве на товарный знак.</w:t>
      </w:r>
    </w:p>
    <w:p w14:paraId="1715D7B4" w14:textId="3C00CF96" w:rsidR="00444F18" w:rsidRDefault="00444F18" w:rsidP="006127CE">
      <w:pPr>
        <w:pStyle w:val="before"/>
        <w:spacing w:before="40"/>
        <w:rPr>
          <w:rFonts w:ascii="Times New Roman" w:eastAsiaTheme="minorEastAsia" w:hAnsi="Times New Roman" w:cs="Times New Roman"/>
          <w:color w:val="000000"/>
          <w:sz w:val="24"/>
          <w:szCs w:val="24"/>
          <w:lang w:val="ru-RU"/>
        </w:rPr>
      </w:pPr>
      <w:r>
        <w:rPr>
          <w:noProof/>
        </w:rPr>
        <w:drawing>
          <wp:inline distT="0" distB="0" distL="0" distR="0" wp14:anchorId="06287401" wp14:editId="0E884401">
            <wp:extent cx="1383208" cy="12763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304" t="18529" r="32336" b="20183"/>
                    <a:stretch/>
                  </pic:blipFill>
                  <pic:spPr bwMode="auto">
                    <a:xfrm>
                      <a:off x="0" y="0"/>
                      <a:ext cx="1404612" cy="1296100"/>
                    </a:xfrm>
                    <a:prstGeom prst="rect">
                      <a:avLst/>
                    </a:prstGeom>
                    <a:ln>
                      <a:noFill/>
                    </a:ln>
                    <a:extLst>
                      <a:ext uri="{53640926-AAD7-44D8-BBD7-CCE9431645EC}">
                        <a14:shadowObscured xmlns:a14="http://schemas.microsoft.com/office/drawing/2010/main"/>
                      </a:ext>
                    </a:extLst>
                  </pic:spPr>
                </pic:pic>
              </a:graphicData>
            </a:graphic>
          </wp:inline>
        </w:drawing>
      </w:r>
    </w:p>
    <w:p w14:paraId="1EECF715" w14:textId="77777777" w:rsidR="00223AE6" w:rsidRPr="00EA09A3" w:rsidRDefault="00223AE6" w:rsidP="006127CE">
      <w:pPr>
        <w:pStyle w:val="before"/>
        <w:spacing w:before="40"/>
        <w:rPr>
          <w:rFonts w:ascii="Times New Roman" w:eastAsiaTheme="minorEastAsia" w:hAnsi="Times New Roman" w:cs="Times New Roman"/>
          <w:color w:val="000000"/>
          <w:sz w:val="24"/>
          <w:szCs w:val="24"/>
          <w:lang w:val="ru-RU"/>
        </w:rPr>
      </w:pPr>
    </w:p>
    <w:p w14:paraId="7AB1F15E" w14:textId="5E16DD31" w:rsidR="00631B7B" w:rsidRPr="00E23905"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17858DC6"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06AA2338" w14:textId="77777777" w:rsidR="00705A2B" w:rsidRPr="00E23905" w:rsidRDefault="00705A2B" w:rsidP="00705A2B">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752227B"/>
    <w:multiLevelType w:val="hybridMultilevel"/>
    <w:tmpl w:val="ED3A90AE"/>
    <w:lvl w:ilvl="0" w:tplc="3900FFDA">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6"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7"/>
  </w:num>
  <w:num w:numId="11">
    <w:abstractNumId w:val="4"/>
    <w:lvlOverride w:ilvl="0">
      <w:startOverride w:val="1"/>
    </w:lvlOverride>
  </w:num>
  <w:num w:numId="12">
    <w:abstractNumId w:val="27"/>
  </w:num>
  <w:num w:numId="13">
    <w:abstractNumId w:val="11"/>
  </w:num>
  <w:num w:numId="14">
    <w:abstractNumId w:val="29"/>
  </w:num>
  <w:num w:numId="15">
    <w:abstractNumId w:val="26"/>
  </w:num>
  <w:num w:numId="16">
    <w:abstractNumId w:val="2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1"/>
  </w:num>
  <w:num w:numId="20">
    <w:abstractNumId w:val="19"/>
  </w:num>
  <w:num w:numId="21">
    <w:abstractNumId w:val="30"/>
  </w:num>
  <w:num w:numId="22">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30"/>
  </w:num>
  <w:num w:numId="28">
    <w:abstractNumId w:val="18"/>
  </w:num>
  <w:num w:numId="29">
    <w:abstractNumId w:val="30"/>
  </w:num>
  <w:num w:numId="30">
    <w:abstractNumId w:val="30"/>
  </w:num>
  <w:num w:numId="31">
    <w:abstractNumId w:val="16"/>
  </w:num>
  <w:num w:numId="32">
    <w:abstractNumId w:val="21"/>
  </w:num>
  <w:num w:numId="33">
    <w:abstractNumId w:val="30"/>
  </w:num>
  <w:num w:numId="34">
    <w:abstractNumId w:val="16"/>
  </w:num>
  <w:num w:numId="35">
    <w:abstractNumId w:val="0"/>
  </w:num>
  <w:num w:numId="36">
    <w:abstractNumId w:val="1"/>
  </w:num>
  <w:num w:numId="37">
    <w:abstractNumId w:val="2"/>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537"/>
    <w:rsid w:val="00077663"/>
    <w:rsid w:val="000825BF"/>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67D33"/>
    <w:rsid w:val="00185EF1"/>
    <w:rsid w:val="0019227D"/>
    <w:rsid w:val="001951C7"/>
    <w:rsid w:val="001A705E"/>
    <w:rsid w:val="001B519C"/>
    <w:rsid w:val="001B567B"/>
    <w:rsid w:val="001D754E"/>
    <w:rsid w:val="001D7B4B"/>
    <w:rsid w:val="001E278A"/>
    <w:rsid w:val="001F272C"/>
    <w:rsid w:val="00205AC5"/>
    <w:rsid w:val="00213AE0"/>
    <w:rsid w:val="00215EFA"/>
    <w:rsid w:val="00223AE6"/>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30A0B"/>
    <w:rsid w:val="0033322B"/>
    <w:rsid w:val="00341669"/>
    <w:rsid w:val="003424ED"/>
    <w:rsid w:val="00342BA5"/>
    <w:rsid w:val="00345B20"/>
    <w:rsid w:val="00355797"/>
    <w:rsid w:val="00356898"/>
    <w:rsid w:val="00361440"/>
    <w:rsid w:val="003653F5"/>
    <w:rsid w:val="00382317"/>
    <w:rsid w:val="0038716A"/>
    <w:rsid w:val="00392549"/>
    <w:rsid w:val="003972A2"/>
    <w:rsid w:val="003D59FC"/>
    <w:rsid w:val="003D739C"/>
    <w:rsid w:val="00404D1F"/>
    <w:rsid w:val="0041452E"/>
    <w:rsid w:val="004346B6"/>
    <w:rsid w:val="004409F3"/>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2AF6"/>
    <w:rsid w:val="0061208D"/>
    <w:rsid w:val="006125A5"/>
    <w:rsid w:val="006127CE"/>
    <w:rsid w:val="00630DAE"/>
    <w:rsid w:val="00631B7B"/>
    <w:rsid w:val="00637C1C"/>
    <w:rsid w:val="00645882"/>
    <w:rsid w:val="006549FD"/>
    <w:rsid w:val="00657D28"/>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3607E"/>
    <w:rsid w:val="008438E7"/>
    <w:rsid w:val="00846ECE"/>
    <w:rsid w:val="00856B47"/>
    <w:rsid w:val="0086000B"/>
    <w:rsid w:val="00860C4C"/>
    <w:rsid w:val="008652A4"/>
    <w:rsid w:val="00866085"/>
    <w:rsid w:val="008708F0"/>
    <w:rsid w:val="00872695"/>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96E79"/>
    <w:rsid w:val="009978F9"/>
    <w:rsid w:val="009A7551"/>
    <w:rsid w:val="009B64C2"/>
    <w:rsid w:val="009C1204"/>
    <w:rsid w:val="009C5516"/>
    <w:rsid w:val="009D62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36D39"/>
    <w:rsid w:val="00B40445"/>
    <w:rsid w:val="00B44B7B"/>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25F6F"/>
    <w:rsid w:val="00D32AF1"/>
    <w:rsid w:val="00D613CE"/>
    <w:rsid w:val="00D623C2"/>
    <w:rsid w:val="00D76D12"/>
    <w:rsid w:val="00D858E7"/>
    <w:rsid w:val="00DA129C"/>
    <w:rsid w:val="00DA57DA"/>
    <w:rsid w:val="00DB0065"/>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99"/>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16</Pages>
  <Words>5922</Words>
  <Characters>33760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36</cp:revision>
  <cp:lastPrinted>2021-11-16T06:19:00Z</cp:lastPrinted>
  <dcterms:created xsi:type="dcterms:W3CDTF">2021-07-27T07:59:00Z</dcterms:created>
  <dcterms:modified xsi:type="dcterms:W3CDTF">2021-11-16T06:19:00Z</dcterms:modified>
</cp:coreProperties>
</file>