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75A368B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2E38F7">
        <w:rPr>
          <w:rFonts w:eastAsiaTheme="minorHAnsi"/>
          <w:b/>
        </w:rPr>
        <w:t>Монголии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77777777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</w:t>
      </w:r>
      <w:proofErr w:type="spellStart"/>
      <w:r w:rsidRPr="00C36733">
        <w:t>Гылыпкылова</w:t>
      </w:r>
      <w:proofErr w:type="spellEnd"/>
      <w:r w:rsidRPr="00C36733">
        <w:t xml:space="preserve"> Руслана Юрьевича, действующего на </w:t>
      </w:r>
      <w:r w:rsidRPr="00934E3E">
        <w:t xml:space="preserve">основании доверенности №07-01/08 от 26.11.2020г.,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proofErr w:type="spellStart"/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</w:t>
            </w:r>
            <w:proofErr w:type="spellEnd"/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Р.Ю.</w:t>
            </w:r>
          </w:p>
          <w:p w14:paraId="17EE0C19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№07-01/08 от 26.11.2020г.)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23ADF0F5" w:rsidR="001D56A5" w:rsidRPr="00DC2265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</w:t>
      </w:r>
      <w:r w:rsidR="00E64838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2E38F7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Монголии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C500C" w:rsidRPr="00345C04" w14:paraId="0A86E716" w14:textId="77777777" w:rsidTr="00AB2052">
        <w:tc>
          <w:tcPr>
            <w:tcW w:w="4106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AB2052">
        <w:tc>
          <w:tcPr>
            <w:tcW w:w="4106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AB2052">
        <w:trPr>
          <w:trHeight w:val="312"/>
        </w:trPr>
        <w:tc>
          <w:tcPr>
            <w:tcW w:w="4106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AB2052">
        <w:tc>
          <w:tcPr>
            <w:tcW w:w="4106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AB2052">
        <w:tc>
          <w:tcPr>
            <w:tcW w:w="4106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AB2052">
        <w:tc>
          <w:tcPr>
            <w:tcW w:w="4106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AB2052">
        <w:tc>
          <w:tcPr>
            <w:tcW w:w="4106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AB2052">
        <w:tc>
          <w:tcPr>
            <w:tcW w:w="4106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AB2052">
        <w:tc>
          <w:tcPr>
            <w:tcW w:w="4106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AB2052">
        <w:tc>
          <w:tcPr>
            <w:tcW w:w="4106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AB2052">
        <w:tc>
          <w:tcPr>
            <w:tcW w:w="4106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AB2052">
        <w:tc>
          <w:tcPr>
            <w:tcW w:w="4106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AB2052">
        <w:tc>
          <w:tcPr>
            <w:tcW w:w="4106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AB2052">
        <w:tc>
          <w:tcPr>
            <w:tcW w:w="4106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AB2052">
        <w:tc>
          <w:tcPr>
            <w:tcW w:w="4106" w:type="dxa"/>
          </w:tcPr>
          <w:p w14:paraId="0E39578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48DF91E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AB2052">
        <w:tc>
          <w:tcPr>
            <w:tcW w:w="4106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AB2052">
        <w:tc>
          <w:tcPr>
            <w:tcW w:w="4106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AB2052">
        <w:tc>
          <w:tcPr>
            <w:tcW w:w="4106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Имеются ли у компании какие-то яркие уникальные достижения и/или </w:t>
            </w: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AB2052">
        <w:tc>
          <w:tcPr>
            <w:tcW w:w="4106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AB2052">
        <w:tc>
          <w:tcPr>
            <w:tcW w:w="4106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AB2052">
        <w:tc>
          <w:tcPr>
            <w:tcW w:w="4106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AB2052">
        <w:tc>
          <w:tcPr>
            <w:tcW w:w="4106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AB2052">
        <w:tc>
          <w:tcPr>
            <w:tcW w:w="4106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AB2052">
        <w:tc>
          <w:tcPr>
            <w:tcW w:w="4106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345C04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345C04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AB2052">
        <w:tc>
          <w:tcPr>
            <w:tcW w:w="4106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AB2052">
        <w:tc>
          <w:tcPr>
            <w:tcW w:w="4106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AB2052">
        <w:tc>
          <w:tcPr>
            <w:tcW w:w="4106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AB2052">
        <w:tc>
          <w:tcPr>
            <w:tcW w:w="4106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AB2052">
        <w:tc>
          <w:tcPr>
            <w:tcW w:w="4106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AB2052">
        <w:tc>
          <w:tcPr>
            <w:tcW w:w="4106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AB2052">
        <w:tc>
          <w:tcPr>
            <w:tcW w:w="4106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AB2052">
        <w:tc>
          <w:tcPr>
            <w:tcW w:w="4106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AB2052">
        <w:tc>
          <w:tcPr>
            <w:tcW w:w="4106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79B1D4C8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слайда указывающего приграничное расположение экспортера и место поставки (дополнительно расстояние между Улан-Удэ и Улан-Батором 550 км.).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Софинансирование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затрат на участие в международных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конгрессно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A71CC4">
        <w:rPr>
          <w:rFonts w:ascii="Times New Roman" w:hAnsi="Times New Roman" w:cs="Times New Roman"/>
          <w:b/>
          <w:sz w:val="23"/>
          <w:szCs w:val="23"/>
        </w:rPr>
        <w:t>Гылыпкылов</w:t>
      </w:r>
      <w:proofErr w:type="spellEnd"/>
      <w:r w:rsidR="00A71CC4">
        <w:rPr>
          <w:rFonts w:ascii="Times New Roman" w:hAnsi="Times New Roman" w:cs="Times New Roman"/>
          <w:b/>
          <w:sz w:val="23"/>
          <w:szCs w:val="23"/>
        </w:rPr>
        <w:t xml:space="preserve">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4BB47" w14:textId="77777777" w:rsidR="00723E9A" w:rsidRDefault="00723E9A">
      <w:r>
        <w:separator/>
      </w:r>
    </w:p>
  </w:endnote>
  <w:endnote w:type="continuationSeparator" w:id="0">
    <w:p w14:paraId="04DF3BE7" w14:textId="77777777" w:rsidR="00723E9A" w:rsidRDefault="0072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A747" w14:textId="77777777" w:rsidR="00723E9A" w:rsidRDefault="00723E9A">
      <w:r>
        <w:separator/>
      </w:r>
    </w:p>
  </w:footnote>
  <w:footnote w:type="continuationSeparator" w:id="0">
    <w:p w14:paraId="10F11F08" w14:textId="77777777" w:rsidR="00723E9A" w:rsidRDefault="00723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13"/>
  </w:num>
  <w:num w:numId="4">
    <w:abstractNumId w:val="27"/>
  </w:num>
  <w:num w:numId="5">
    <w:abstractNumId w:val="12"/>
  </w:num>
  <w:num w:numId="6">
    <w:abstractNumId w:val="4"/>
  </w:num>
  <w:num w:numId="7">
    <w:abstractNumId w:val="9"/>
  </w:num>
  <w:num w:numId="8">
    <w:abstractNumId w:val="10"/>
  </w:num>
  <w:num w:numId="9">
    <w:abstractNumId w:val="30"/>
  </w:num>
  <w:num w:numId="10">
    <w:abstractNumId w:val="31"/>
  </w:num>
  <w:num w:numId="11">
    <w:abstractNumId w:val="14"/>
  </w:num>
  <w:num w:numId="12">
    <w:abstractNumId w:val="21"/>
  </w:num>
  <w:num w:numId="13">
    <w:abstractNumId w:val="29"/>
  </w:num>
  <w:num w:numId="14">
    <w:abstractNumId w:val="20"/>
  </w:num>
  <w:num w:numId="15">
    <w:abstractNumId w:val="0"/>
  </w:num>
  <w:num w:numId="16">
    <w:abstractNumId w:val="8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33"/>
  </w:num>
  <w:num w:numId="22">
    <w:abstractNumId w:val="32"/>
  </w:num>
  <w:num w:numId="23">
    <w:abstractNumId w:val="5"/>
  </w:num>
  <w:num w:numId="24">
    <w:abstractNumId w:val="22"/>
  </w:num>
  <w:num w:numId="25">
    <w:abstractNumId w:val="11"/>
  </w:num>
  <w:num w:numId="26">
    <w:abstractNumId w:val="24"/>
  </w:num>
  <w:num w:numId="27">
    <w:abstractNumId w:val="25"/>
  </w:num>
  <w:num w:numId="28">
    <w:abstractNumId w:val="6"/>
  </w:num>
  <w:num w:numId="29">
    <w:abstractNumId w:val="23"/>
  </w:num>
  <w:num w:numId="30">
    <w:abstractNumId w:val="18"/>
  </w:num>
  <w:num w:numId="31">
    <w:abstractNumId w:val="1"/>
  </w:num>
  <w:num w:numId="32">
    <w:abstractNumId w:val="19"/>
  </w:num>
  <w:num w:numId="33">
    <w:abstractNumId w:val="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060A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60790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E1D1D"/>
    <w:rsid w:val="002E38F7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23E9A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3B62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12177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BE3C8E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09DF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4838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5476</Words>
  <Characters>31218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nikitinaas@AD.MSP03.RU</cp:lastModifiedBy>
  <cp:revision>23</cp:revision>
  <cp:lastPrinted>2022-02-16T05:06:00Z</cp:lastPrinted>
  <dcterms:created xsi:type="dcterms:W3CDTF">2022-01-21T09:23:00Z</dcterms:created>
  <dcterms:modified xsi:type="dcterms:W3CDTF">2022-03-23T07:05:00Z</dcterms:modified>
</cp:coreProperties>
</file>