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69BB8D54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BC7EB9">
        <w:rPr>
          <w:rFonts w:eastAsiaTheme="minorHAnsi"/>
          <w:sz w:val="22"/>
          <w:szCs w:val="22"/>
          <w:lang w:eastAsia="en-US"/>
        </w:rPr>
        <w:t>Республики Казахстан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3382D326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C77905">
        <w:rPr>
          <w:sz w:val="22"/>
          <w:szCs w:val="22"/>
          <w:lang w:eastAsia="zh-CN"/>
        </w:rPr>
        <w:t>ООО «Армед 03»</w:t>
      </w:r>
    </w:p>
    <w:p w14:paraId="5082BF61" w14:textId="4F50EA26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C77905">
        <w:rPr>
          <w:sz w:val="22"/>
          <w:szCs w:val="22"/>
          <w:lang w:eastAsia="zh-CN"/>
        </w:rPr>
        <w:t>лампы для фототерапии новорожденных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3AA731BA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C77905">
        <w:rPr>
          <w:sz w:val="22"/>
          <w:szCs w:val="22"/>
          <w:lang w:eastAsia="ar-SA"/>
        </w:rPr>
        <w:t>шестидесяти пяти</w:t>
      </w:r>
      <w:r w:rsidRPr="00E16447">
        <w:rPr>
          <w:sz w:val="22"/>
          <w:szCs w:val="22"/>
          <w:lang w:eastAsia="ar-SA"/>
        </w:rPr>
        <w:t>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423D03"/>
    <w:rsid w:val="005423EE"/>
    <w:rsid w:val="006F28B2"/>
    <w:rsid w:val="00867D29"/>
    <w:rsid w:val="00941B28"/>
    <w:rsid w:val="00A92B4A"/>
    <w:rsid w:val="00BC7EB9"/>
    <w:rsid w:val="00C7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982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13</cp:revision>
  <dcterms:created xsi:type="dcterms:W3CDTF">2020-05-15T01:19:00Z</dcterms:created>
  <dcterms:modified xsi:type="dcterms:W3CDTF">2020-06-01T02:01:00Z</dcterms:modified>
</cp:coreProperties>
</file>