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56" w:rsidRDefault="007F4356" w:rsidP="007F435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Отчёт Регионального центра инжиниринга по Республики Бурятия </w:t>
      </w:r>
    </w:p>
    <w:p w:rsidR="007F4356" w:rsidRDefault="007F4356" w:rsidP="007F4356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 2019 год</w:t>
      </w:r>
    </w:p>
    <w:p w:rsidR="007F4356" w:rsidRDefault="007F4356" w:rsidP="007F43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6DB" w:rsidRPr="00C81337" w:rsidRDefault="000506DB" w:rsidP="007F43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1337">
        <w:rPr>
          <w:rFonts w:ascii="Times New Roman" w:hAnsi="Times New Roman"/>
          <w:sz w:val="28"/>
          <w:szCs w:val="28"/>
        </w:rPr>
        <w:t>В 2019 году РЦИ оказано 170 услуг 107 производственным предприятиям Бурятии</w:t>
      </w:r>
      <w:r w:rsidR="000204CF">
        <w:rPr>
          <w:rFonts w:ascii="Times New Roman" w:hAnsi="Times New Roman"/>
          <w:sz w:val="28"/>
          <w:szCs w:val="28"/>
        </w:rPr>
        <w:t xml:space="preserve"> (Процент выполнения плана 107%), оказано 30 маркетинговых услуг (Процент выполнения плана 150%). </w:t>
      </w:r>
      <w:r w:rsidRPr="00C81337">
        <w:rPr>
          <w:rFonts w:ascii="Times New Roman" w:hAnsi="Times New Roman"/>
          <w:sz w:val="28"/>
          <w:szCs w:val="28"/>
        </w:rPr>
        <w:t xml:space="preserve">Согласно планам развития предприятий, полученные услуги помогут создать дополнительно 40 рабочих мест, способствуют увеличения выручки на 400 млн. руб. в год. Дополнительные налоговые поступления от планируемого увеличения выручки в 2020 году составят около 24 млн. руб.  </w:t>
      </w:r>
      <w:proofErr w:type="spellStart"/>
      <w:r w:rsidRPr="00C8133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81337">
        <w:rPr>
          <w:rFonts w:ascii="Times New Roman" w:hAnsi="Times New Roman"/>
          <w:sz w:val="28"/>
          <w:szCs w:val="28"/>
        </w:rPr>
        <w:t xml:space="preserve"> со стороны РЦИ по оказанию услуг производственным предприятиям в 2019 году составило выделено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20408,2 </w:t>
      </w:r>
      <w:r w:rsidRPr="00C81337">
        <w:rPr>
          <w:rFonts w:ascii="Times New Roman" w:hAnsi="Times New Roman"/>
          <w:sz w:val="28"/>
          <w:szCs w:val="28"/>
        </w:rPr>
        <w:t>тыс. рублей</w:t>
      </w:r>
    </w:p>
    <w:p w:rsidR="000506DB" w:rsidRPr="00C81337" w:rsidRDefault="000506DB" w:rsidP="007F43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337">
        <w:rPr>
          <w:rFonts w:ascii="Times New Roman" w:hAnsi="Times New Roman"/>
          <w:sz w:val="28"/>
          <w:szCs w:val="28"/>
        </w:rPr>
        <w:t xml:space="preserve">Наибольшей популярностью пользуется услуга по сертификации производимой продукции. В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году</w:t>
      </w:r>
      <w:r w:rsidRPr="00C81337">
        <w:rPr>
          <w:rFonts w:ascii="Times New Roman" w:hAnsi="Times New Roman"/>
          <w:sz w:val="28"/>
          <w:szCs w:val="28"/>
        </w:rPr>
        <w:t xml:space="preserve"> из 170 услуг, оказанных РЦИ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производственным предприятиям оказаны 43 услуги по сертификации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 </w:t>
      </w:r>
      <w:r w:rsidRPr="00C81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сумму 3984 тыс. рублей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34 услуги по разработке бизнес-планов, проектов развития производства на сумму 7891 тыс. рублей, 33 маркетинговые  услуги по регистрации товарного знака на сумму 3147</w:t>
      </w:r>
      <w:r w:rsidR="006B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рублей, 20 услуг по проведению различных аудитов на сумму 3023 тыс. руб., </w:t>
      </w:r>
      <w:r w:rsidR="006B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 иных услуг.</w:t>
      </w:r>
    </w:p>
    <w:p w:rsidR="000506DB" w:rsidRPr="00C81337" w:rsidRDefault="000506DB" w:rsidP="007F43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6CF6" w:rsidRPr="00C81337" w:rsidRDefault="007E6CF6" w:rsidP="007F43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1337">
        <w:rPr>
          <w:rFonts w:ascii="Times New Roman" w:hAnsi="Times New Roman"/>
          <w:sz w:val="28"/>
          <w:szCs w:val="28"/>
        </w:rPr>
        <w:t>22 марта 2019г проведен Круглый стол на тему "Меры государственной поддержки субъектам МСП Республики Бурятия" в котором приняло участие 35 субъектов МСП.</w:t>
      </w:r>
    </w:p>
    <w:p w:rsidR="007E6CF6" w:rsidRPr="00C81337" w:rsidRDefault="007E6CF6" w:rsidP="007F43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1337">
        <w:rPr>
          <w:rFonts w:ascii="Times New Roman" w:hAnsi="Times New Roman"/>
          <w:sz w:val="28"/>
          <w:szCs w:val="28"/>
        </w:rPr>
        <w:t xml:space="preserve">Осуществлены выступления по услугам центра «Мой бизнес» в </w:t>
      </w:r>
      <w:proofErr w:type="spellStart"/>
      <w:r w:rsidRPr="00C81337">
        <w:rPr>
          <w:rFonts w:ascii="Times New Roman" w:hAnsi="Times New Roman"/>
          <w:sz w:val="28"/>
          <w:szCs w:val="28"/>
        </w:rPr>
        <w:t>Бичурском</w:t>
      </w:r>
      <w:proofErr w:type="spellEnd"/>
      <w:r w:rsidRPr="00C813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337">
        <w:rPr>
          <w:rFonts w:ascii="Times New Roman" w:hAnsi="Times New Roman"/>
          <w:sz w:val="28"/>
          <w:szCs w:val="28"/>
        </w:rPr>
        <w:t>Селенгинском</w:t>
      </w:r>
      <w:proofErr w:type="spellEnd"/>
      <w:r w:rsidRPr="00C813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337">
        <w:rPr>
          <w:rFonts w:ascii="Times New Roman" w:hAnsi="Times New Roman"/>
          <w:sz w:val="28"/>
          <w:szCs w:val="28"/>
        </w:rPr>
        <w:t>Кяхтинском</w:t>
      </w:r>
      <w:proofErr w:type="spellEnd"/>
      <w:r w:rsidRPr="00C81337">
        <w:rPr>
          <w:rFonts w:ascii="Times New Roman" w:hAnsi="Times New Roman"/>
          <w:sz w:val="28"/>
          <w:szCs w:val="28"/>
        </w:rPr>
        <w:t xml:space="preserve"> районах  Республики Бурятия</w:t>
      </w:r>
    </w:p>
    <w:p w:rsidR="000204CF" w:rsidRDefault="000204CF" w:rsidP="007F4356">
      <w:pPr>
        <w:spacing w:after="0" w:line="360" w:lineRule="auto"/>
        <w:rPr>
          <w:sz w:val="28"/>
          <w:szCs w:val="28"/>
        </w:rPr>
      </w:pPr>
    </w:p>
    <w:p w:rsidR="000204CF" w:rsidRDefault="000204CF" w:rsidP="00020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20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04F1">
        <w:rPr>
          <w:rFonts w:ascii="Times New Roman" w:hAnsi="Times New Roman"/>
          <w:sz w:val="24"/>
          <w:szCs w:val="24"/>
        </w:rPr>
        <w:t xml:space="preserve"> </w:t>
      </w:r>
    </w:p>
    <w:p w:rsidR="000204CF" w:rsidRPr="00C704F1" w:rsidRDefault="000204CF" w:rsidP="00020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4F1">
        <w:rPr>
          <w:rFonts w:ascii="Times New Roman" w:hAnsi="Times New Roman"/>
          <w:sz w:val="24"/>
          <w:szCs w:val="24"/>
        </w:rPr>
        <w:lastRenderedPageBreak/>
        <w:t>Отчет</w:t>
      </w:r>
    </w:p>
    <w:p w:rsidR="000204CF" w:rsidRPr="00C704F1" w:rsidRDefault="000204CF" w:rsidP="00020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4F1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предоставления Субсидии по состоянию на 31.12.2019 г. </w:t>
      </w:r>
    </w:p>
    <w:p w:rsidR="000204CF" w:rsidRPr="00C704F1" w:rsidRDefault="000204CF" w:rsidP="00020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4CF" w:rsidRPr="00C704F1" w:rsidRDefault="000204CF" w:rsidP="00020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4F1">
        <w:rPr>
          <w:rFonts w:ascii="Times New Roman" w:hAnsi="Times New Roman"/>
          <w:sz w:val="24"/>
          <w:szCs w:val="24"/>
        </w:rPr>
        <w:t>Наименование получателя: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0204CF" w:rsidRPr="00C704F1" w:rsidRDefault="000204CF" w:rsidP="00020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4F1">
        <w:rPr>
          <w:rFonts w:ascii="Times New Roman" w:hAnsi="Times New Roman"/>
          <w:sz w:val="24"/>
          <w:szCs w:val="24"/>
        </w:rPr>
        <w:t>Периодичность: ежеквартальная</w:t>
      </w:r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3543"/>
        <w:gridCol w:w="2552"/>
        <w:gridCol w:w="1559"/>
        <w:gridCol w:w="851"/>
        <w:gridCol w:w="992"/>
        <w:gridCol w:w="1701"/>
        <w:gridCol w:w="1276"/>
        <w:gridCol w:w="1498"/>
      </w:tblGrid>
      <w:tr w:rsidR="000204CF" w:rsidRPr="00C704F1" w:rsidTr="00D857C2">
        <w:tc>
          <w:tcPr>
            <w:tcW w:w="454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Единица измерения по ОКЕИ / Единица измерения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Достигнутое значение показателя по состоянию на отчетную дату 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Процент выполнения плана </w:t>
            </w:r>
          </w:p>
        </w:tc>
        <w:tc>
          <w:tcPr>
            <w:tcW w:w="1498" w:type="dxa"/>
            <w:vMerge w:val="restart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Причина отклонения </w:t>
            </w:r>
          </w:p>
        </w:tc>
      </w:tr>
      <w:tr w:rsidR="000204CF" w:rsidRPr="00C704F1" w:rsidTr="00D857C2">
        <w:trPr>
          <w:trHeight w:val="551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4CF" w:rsidRPr="00C704F1" w:rsidTr="00D857C2">
        <w:tc>
          <w:tcPr>
            <w:tcW w:w="454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04CF" w:rsidRPr="00C704F1" w:rsidTr="00D857C2">
        <w:tc>
          <w:tcPr>
            <w:tcW w:w="454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Центра;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107</w:t>
            </w:r>
            <w:r w:rsidRPr="00C704F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4CF" w:rsidRPr="00C704F1" w:rsidTr="00D857C2">
        <w:tc>
          <w:tcPr>
            <w:tcW w:w="454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Количество оказанных маркетинговых услуг, услуг по брендированию (разработке и продвижению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позиционированию и продвижению новых продуктов (услуг) субъектов малого или среднего предпринимательства;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150%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4CF" w:rsidRPr="00C704F1" w:rsidTr="00D857C2">
        <w:tc>
          <w:tcPr>
            <w:tcW w:w="454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</w:t>
            </w:r>
            <w:r w:rsidRPr="00C704F1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предпринимательства, получивших услуги по проведению различных аудитов (экспресс-оценка индекса технологической готовности, энергетический, экологический, энерготехнологический, финансовый, управленческий)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Акселерация субъектов </w:t>
            </w:r>
            <w:r w:rsidRPr="00C704F1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C704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4CF" w:rsidRPr="00C704F1" w:rsidTr="00D857C2">
        <w:tc>
          <w:tcPr>
            <w:tcW w:w="454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1">
              <w:rPr>
                <w:rFonts w:ascii="Times New Roman" w:hAnsi="Times New Roman" w:cs="Times New Roman"/>
                <w:sz w:val="24"/>
                <w:szCs w:val="24"/>
              </w:rPr>
              <w:t>Количество услуг Центра, включенных в региональный реестр услуг организаций инфраструктуры поддержки субъектов малого и среднего предпринимательства.</w:t>
            </w:r>
          </w:p>
          <w:p w:rsidR="000204CF" w:rsidRPr="00C704F1" w:rsidRDefault="000204CF" w:rsidP="00D8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0204CF" w:rsidRPr="00C704F1" w:rsidRDefault="000204CF" w:rsidP="00D8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4CF" w:rsidRPr="00C704F1" w:rsidRDefault="000204CF" w:rsidP="00020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5F1" w:rsidRPr="00C81337" w:rsidRDefault="006425F1" w:rsidP="007E6CF6">
      <w:pPr>
        <w:ind w:firstLine="851"/>
        <w:rPr>
          <w:sz w:val="28"/>
          <w:szCs w:val="28"/>
        </w:rPr>
      </w:pPr>
    </w:p>
    <w:sectPr w:rsidR="006425F1" w:rsidRPr="00C81337" w:rsidSect="000204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F1"/>
    <w:rsid w:val="000204CF"/>
    <w:rsid w:val="000506DB"/>
    <w:rsid w:val="003E0B74"/>
    <w:rsid w:val="006425F1"/>
    <w:rsid w:val="006B6D0A"/>
    <w:rsid w:val="007E6CF6"/>
    <w:rsid w:val="007F4356"/>
    <w:rsid w:val="00A7346B"/>
    <w:rsid w:val="00AD77F0"/>
    <w:rsid w:val="00C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serebrennikovkv@AD.MSP03.RU</dc:creator>
  <cp:keywords/>
  <dc:description/>
  <cp:lastModifiedBy>serebrennikovkv</cp:lastModifiedBy>
  <cp:revision>3</cp:revision>
  <dcterms:created xsi:type="dcterms:W3CDTF">2020-06-26T00:39:00Z</dcterms:created>
  <dcterms:modified xsi:type="dcterms:W3CDTF">2022-10-24T07:22:00Z</dcterms:modified>
</cp:coreProperties>
</file>