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4DCFF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001EDAEA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AC0EE51" w14:textId="12D888F0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672415">
        <w:rPr>
          <w:b/>
          <w:sz w:val="24"/>
          <w:szCs w:val="24"/>
        </w:rPr>
        <w:t>04-14/100</w:t>
      </w:r>
      <w:r w:rsidRPr="00F9486B">
        <w:rPr>
          <w:b/>
          <w:sz w:val="24"/>
          <w:szCs w:val="24"/>
        </w:rPr>
        <w:t xml:space="preserve"> от </w:t>
      </w:r>
      <w:r w:rsidR="00672415">
        <w:rPr>
          <w:b/>
          <w:sz w:val="24"/>
          <w:szCs w:val="24"/>
        </w:rPr>
        <w:t>02.09.2020</w:t>
      </w:r>
    </w:p>
    <w:p w14:paraId="168372D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4BD89889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20FCDFEF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AD1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25B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567CAE1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7905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36FF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64FC62F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F0A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8B36" w14:textId="180A222D" w:rsidR="00F9486B" w:rsidRPr="00F9486B" w:rsidRDefault="0067241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Петрова Н.И.</w:t>
            </w:r>
          </w:p>
        </w:tc>
      </w:tr>
      <w:tr w:rsidR="00DD23C4" w:rsidRPr="00F9486B" w14:paraId="61BD7163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A174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7C56B" w14:textId="0BA6B819" w:rsidR="00DD23C4" w:rsidRPr="00F9486B" w:rsidRDefault="0067241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логотипа, фирменного стиля</w:t>
            </w:r>
          </w:p>
        </w:tc>
      </w:tr>
      <w:tr w:rsidR="00F9486B" w:rsidRPr="00F9486B" w14:paraId="420AF7DF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C2C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F229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51A85A1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EBE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8245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21A7B7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34EC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17791D8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64B7" w14:textId="57CDDAA8" w:rsidR="00F9486B" w:rsidRPr="00F9486B" w:rsidRDefault="0067241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74073BA9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C2BE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1D64E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3D065A7D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AD9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5D8B" w14:textId="0F4A55B9" w:rsidR="00F9486B" w:rsidRPr="00FF68C9" w:rsidRDefault="0067241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02A62238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41B5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7D7D" w14:textId="31C742E5" w:rsidR="00F9486B" w:rsidRPr="00F9486B" w:rsidRDefault="0067241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Петрова Н.И., Адрес: г. Улан-Удэ, 140А 1-32, телефон: 69-24-99; 38-00-19,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miss692499@mail.ru. </w:t>
            </w:r>
          </w:p>
        </w:tc>
      </w:tr>
      <w:tr w:rsidR="00F9486B" w:rsidRPr="00F9486B" w14:paraId="4FE3AB2E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70D9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4F8A5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F4954F6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A5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DC5C8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7EB4E797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29E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8E65AAC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4D2FCD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3E2F9DB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C36CCC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31A1B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651A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487CB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92370D8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311D3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3A078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3F3290" w14:textId="222533BB" w:rsidR="000A0BF3" w:rsidRPr="00F9486B" w:rsidRDefault="0067241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3838F76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2F155687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ACD32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2E54D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9A0BC" w14:textId="083E5CF6" w:rsidR="00F9486B" w:rsidRPr="00F9486B" w:rsidRDefault="0067241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1823F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28822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F0D4060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A53C6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0B209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ED631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06D2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69848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3BEAE8FD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6B71D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FB7CE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3996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5135C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88C49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B38AFCB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F90FB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DCEF9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DF72D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5111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ADBD0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4FBDBEA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BCF62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3D311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A90BB75" w14:textId="5B80FC8B" w:rsidR="00F9486B" w:rsidRPr="00F9486B" w:rsidRDefault="0067241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74669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91C9E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F7DFB3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308BE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740C5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10A1CE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03A5B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F8D7D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F717519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1B8D8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123DE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9DCAA8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876D1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71CA7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B4C614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A6249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D5720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584DFA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849A0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14E2C4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C778609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3CC62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8B56A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89432D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2F9D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9703B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09D73C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5DE45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0D5B4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73C128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C6084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376EA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C6468F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6F9B7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AB2B7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AE95BE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3986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EB77E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BFA439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1C53A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1177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CF643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70224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DF277B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AFF0020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3B48090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3030BBC0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59B1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B321" w14:textId="7E653CA8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672415">
              <w:rPr>
                <w:sz w:val="24"/>
                <w:szCs w:val="24"/>
              </w:rPr>
              <w:t>До 12-00 17 сентября 2020 года.</w:t>
            </w:r>
          </w:p>
        </w:tc>
      </w:tr>
      <w:tr w:rsidR="00F9486B" w:rsidRPr="00F157AD" w14:paraId="48009C20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8885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3300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8C27B4A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A725416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6F10AF60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6E24D87A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1691C206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0CD23D6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8E4C9C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4C1D5C50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D6B496C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7EC7E57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6B79BB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4CDE43C1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05DA0F6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98D45B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5BB88E3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5235B7A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71D3D81C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6716A4D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6ABE4031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FB17636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7610CA5C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7D3015F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38C7B053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FC422E9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027C3EC8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38134FA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3EDA4F1D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5819D27E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71AD062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15D148C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18E2C375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7110F5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62A45C58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567797E6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50B3D07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B3113A7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4CBCCE8" w14:textId="2F32FE6F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672415">
        <w:rPr>
          <w:sz w:val="24"/>
          <w:szCs w:val="24"/>
        </w:rPr>
        <w:t>04-14/100</w:t>
      </w:r>
      <w:r w:rsidRPr="00A179EA">
        <w:rPr>
          <w:sz w:val="24"/>
          <w:szCs w:val="24"/>
        </w:rPr>
        <w:t xml:space="preserve"> от</w:t>
      </w:r>
      <w:r w:rsidR="00672415">
        <w:rPr>
          <w:sz w:val="24"/>
          <w:szCs w:val="24"/>
        </w:rPr>
        <w:t>02.09.2020</w:t>
      </w:r>
    </w:p>
    <w:p w14:paraId="19808E97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3EAF412" w14:textId="5257C17D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672415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Петрова Н.И.</w:t>
      </w:r>
      <w:r w:rsidRPr="00A179EA">
        <w:rPr>
          <w:sz w:val="24"/>
          <w:szCs w:val="24"/>
        </w:rPr>
        <w:t xml:space="preserve"> </w:t>
      </w:r>
    </w:p>
    <w:p w14:paraId="17A23FB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674106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6DA5F19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2332F11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50A14B9C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6DE6E7F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E41DB46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F85DDCE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D9AE55A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A5D8C67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1E03C08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26BFF69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432266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2F80D4A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1122C1D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D73863C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53F194EC" w14:textId="64840498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672415">
        <w:rPr>
          <w:sz w:val="24"/>
          <w:szCs w:val="24"/>
        </w:rPr>
        <w:t xml:space="preserve"> по</w:t>
      </w:r>
      <w:proofErr w:type="gramEnd"/>
      <w:r w:rsidR="00672415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Петрова Н.И.</w:t>
      </w:r>
      <w:r w:rsidRPr="00A179EA">
        <w:rPr>
          <w:sz w:val="24"/>
          <w:szCs w:val="24"/>
        </w:rPr>
        <w:t xml:space="preserve"> составляет: </w:t>
      </w:r>
    </w:p>
    <w:p w14:paraId="75EAF593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1DC126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2BB833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EA4ACFD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3E8D5CF9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50349EFD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E693A95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2448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38B0A5DD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7E29A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2D8C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4E132A3C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677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2BAC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9AB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ED01E46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0BC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8BC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7F1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31262E82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0D30B38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5B621C96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DEF9E00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C8D5B56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65F5DD50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438358F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1B6B6D38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0349AEA7" w14:textId="37B126AB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672415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3CBDDDB6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12064792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5AEF6C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E32C0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C1C3A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65F712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5F4568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59A82C25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3B25C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C98A0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2AA7EB4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685F570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25899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71CB0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2D70F5C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1CB7F1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6D70B3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E7F328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F74FAF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5CD89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91105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D04716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62A4C7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0C1D1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68E729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1CEDD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8259D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E3F7CD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FC490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2F4EA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8E0E0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6094F9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A37F7FE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4A44E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1E6EA4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59D06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403A0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06F053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031C1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FE229C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26A9BE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EEACAB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A428C1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275D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72D830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8085F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44C9D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81436E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6062E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627F3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5B881C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257A9A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5A2CF9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A8AD7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B6B714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3E50F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944E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20166F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20313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B1C47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6DF20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8F2B4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382F51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AD7B4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03170E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3C4DC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25E503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4452D0F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17BE80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98137D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D4766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746700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6830ACA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CDE9B3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2F4CC0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443A3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D6BF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5C41A5C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5D8268B6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EF7F3A4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394ADF80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86D1456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BB1CAC2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4EBC5210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9A504A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3AAF8601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AB4B551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19CE648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B3B036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1FDE5C1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2463D4A3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24E13B8C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FB62487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39A43180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6B0BC90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3E2CD17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586D734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79EBBCC9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63B656F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65341E5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1B7E0306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4C46AEDB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EAEF1CE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287F5B6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38E26A04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109EEF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55229AC8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2B98C4F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1EC84D0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54012F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06232B4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0E40DF9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69CEB404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39DCE99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6AF98A5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23DE31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1B3D799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206F65D7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CA29F8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35CDECC2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3800A0A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0B20CA4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03FD50A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280AD88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320803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50E29B89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2075B86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F3014E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529E67F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20823B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D4FC06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679633B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084A178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D760E3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550BD182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171424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3108F77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400A36E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62E8BE8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15E29BB0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317B6377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5A38C5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4E4CDE9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6035A82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79B4146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0C7F91E8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150D26B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3492B4C9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B2E645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DCCA8A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6F6F3ED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19C9FFE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756B972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3B91FF78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B026BD8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6F021B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54A918B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28BE6B72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2C2CC81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D05AFE4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6E398FD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31515A3E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18FFDCA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AC0F49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77443B5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52566473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5758669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565A93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81A944D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EB833A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BA253CD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2D75B9E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186A02B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35F66BD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992DBC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20683F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6F015B5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2219224C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3945786E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3929DDF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16361E6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53A54E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19D7ED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0BCB6B3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5DC8289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78870AD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58576B7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2CC1E30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252EA17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08F50EA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C3ED30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132E1F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28140844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38DE761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5F24371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A11F94E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6E95E21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070FE534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07D8A2C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1CE9908D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75B260C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0ECF7660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47FCF673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4E876EB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CB06E7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78B170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DFF908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205795B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5B17095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1DCEE8A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25BF835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3F1F71E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462ADE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8B7173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33037D91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27F4E790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7964488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73EDB8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617983C4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0DC0E45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C05049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78F1CE2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3853CAC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019691AE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85F76D6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515EB32E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90CBCF9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38BA62BE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16AD509" w14:textId="77777777" w:rsidR="00F734D8" w:rsidRPr="00ED1E06" w:rsidRDefault="00387D3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20506F5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5A7B951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5213262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43ABE37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344112C9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641840B9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F7A6D5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C208B6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CD500F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293BFB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92E357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CC6886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76B8D4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061AEFEC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177E82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4012E09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F3DC27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F5A140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6DBEAD8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4714DAC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F8C7C0E" w14:textId="77777777" w:rsidTr="00565768">
        <w:tc>
          <w:tcPr>
            <w:tcW w:w="10686" w:type="dxa"/>
            <w:gridSpan w:val="6"/>
          </w:tcPr>
          <w:p w14:paraId="5272F77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B7FE72C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4D464C5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032A8EB2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2B0EDD3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8A0831C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20976FF8" w14:textId="77777777" w:rsidTr="00565768">
        <w:tc>
          <w:tcPr>
            <w:tcW w:w="3403" w:type="dxa"/>
            <w:shd w:val="clear" w:color="auto" w:fill="auto"/>
          </w:tcPr>
          <w:p w14:paraId="30D29048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8F5DC1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B09589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F502783" w14:textId="77777777" w:rsidTr="00565768">
        <w:tc>
          <w:tcPr>
            <w:tcW w:w="3403" w:type="dxa"/>
            <w:shd w:val="clear" w:color="auto" w:fill="auto"/>
          </w:tcPr>
          <w:p w14:paraId="6CAF46E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1B3FBC2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722BCE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AB69AE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60680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F82C607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56F3E85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62422F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135D8E9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734B15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B84391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A8DE83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11251C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16D9452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83E793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7FBC94C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0A4B52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49C602E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C6AA6D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290927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7108BA9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6EAD8D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2A8DB3E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93B923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D66088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6E61D8C4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3AC5BA1C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4E81950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C3EBA4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6D7D3159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6DB1153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4D348FDE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7480151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70B5B3D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05C26BE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0EB3049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04C3F61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653A2AB3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CC58788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70ED53C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BB4F92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48C715A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1895676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6ACB0D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1A07DF9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B19C7B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670FE78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6833539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141B486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75B5BB9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7EA425B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100876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C568AC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3F16B568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84FFA8" w14:textId="55A84F52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413971E3" w14:textId="77777777" w:rsidR="00F157AD" w:rsidRPr="00F157AD" w:rsidRDefault="00F157AD" w:rsidP="00F157AD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b/>
          <w:kern w:val="1"/>
          <w:sz w:val="24"/>
          <w:szCs w:val="24"/>
          <w:lang w:val="pt-BR" w:eastAsia="en-US"/>
        </w:rPr>
        <w:lastRenderedPageBreak/>
        <w:t>ТЕХНИЧЕСКОЕ ЗАДАНИЕ</w:t>
      </w:r>
    </w:p>
    <w:p w14:paraId="53D2F7AB" w14:textId="77777777" w:rsidR="00F157AD" w:rsidRPr="00F157AD" w:rsidRDefault="00F157AD" w:rsidP="00F157AD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  <w:lang w:eastAsia="en-US"/>
        </w:rPr>
      </w:pPr>
      <w:r w:rsidRPr="00F157AD">
        <w:rPr>
          <w:rFonts w:eastAsia="DejaVu Sans"/>
          <w:b/>
          <w:bCs/>
          <w:kern w:val="1"/>
          <w:sz w:val="24"/>
          <w:szCs w:val="24"/>
          <w:lang w:eastAsia="en-US"/>
        </w:rPr>
        <w:t>н</w:t>
      </w:r>
      <w:r w:rsidRPr="00F157AD">
        <w:rPr>
          <w:rFonts w:eastAsia="DejaVu Sans"/>
          <w:b/>
          <w:bCs/>
          <w:kern w:val="1"/>
          <w:sz w:val="24"/>
          <w:szCs w:val="24"/>
          <w:lang w:val="pt-BR" w:eastAsia="en-US"/>
        </w:rPr>
        <w:t>а оказание</w:t>
      </w:r>
      <w:r w:rsidRPr="00F157A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b/>
          <w:bCs/>
          <w:kern w:val="1"/>
          <w:sz w:val="24"/>
          <w:szCs w:val="24"/>
          <w:lang w:val="pt-BR" w:eastAsia="en-US"/>
        </w:rPr>
        <w:t>услуг</w:t>
      </w:r>
      <w:r w:rsidRPr="00F157A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b/>
          <w:bCs/>
          <w:kern w:val="1"/>
          <w:sz w:val="24"/>
          <w:szCs w:val="24"/>
          <w:lang w:val="pt-BR" w:eastAsia="en-US"/>
        </w:rPr>
        <w:t>по</w:t>
      </w:r>
      <w:r w:rsidRPr="00F157AD">
        <w:rPr>
          <w:rFonts w:eastAsia="DejaVu Sans"/>
          <w:b/>
          <w:bCs/>
          <w:kern w:val="1"/>
          <w:sz w:val="24"/>
          <w:szCs w:val="24"/>
          <w:lang w:eastAsia="en-US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5F742BAB" w14:textId="77777777" w:rsidR="00F157AD" w:rsidRPr="00F157AD" w:rsidRDefault="00F157AD" w:rsidP="00F157AD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en-US"/>
        </w:rPr>
      </w:pPr>
    </w:p>
    <w:p w14:paraId="06BC2314" w14:textId="77777777" w:rsidR="00F157AD" w:rsidRPr="00F157AD" w:rsidRDefault="00F157AD" w:rsidP="00F157A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Получатель услуги: ИП Петрова Н.И.</w:t>
      </w:r>
    </w:p>
    <w:p w14:paraId="7A9A7594" w14:textId="77777777" w:rsidR="00F157AD" w:rsidRPr="00F157AD" w:rsidRDefault="00F157AD" w:rsidP="00F157A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Источник финансирования: средства субсидии на создание и (или) развитие инжинирингового центра»</w:t>
      </w:r>
    </w:p>
    <w:p w14:paraId="129D9B44" w14:textId="77777777" w:rsidR="00F157AD" w:rsidRPr="00F157AD" w:rsidRDefault="00F157AD" w:rsidP="00F157AD">
      <w:pPr>
        <w:widowControl w:val="0"/>
        <w:numPr>
          <w:ilvl w:val="0"/>
          <w:numId w:val="17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b/>
          <w:kern w:val="1"/>
          <w:sz w:val="24"/>
          <w:szCs w:val="24"/>
          <w:lang w:val="pt-BR" w:eastAsia="en-US"/>
        </w:rPr>
        <w:t>Основное</w:t>
      </w:r>
      <w:r w:rsidRPr="00F157AD">
        <w:rPr>
          <w:rFonts w:eastAsia="DejaVu Sans"/>
          <w:b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b/>
          <w:kern w:val="1"/>
          <w:sz w:val="24"/>
          <w:szCs w:val="24"/>
          <w:lang w:val="pt-BR" w:eastAsia="en-US"/>
        </w:rPr>
        <w:t>содержание</w:t>
      </w:r>
      <w:r w:rsidRPr="00F157AD">
        <w:rPr>
          <w:rFonts w:eastAsia="DejaVu Sans"/>
          <w:b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b/>
          <w:kern w:val="1"/>
          <w:sz w:val="24"/>
          <w:szCs w:val="24"/>
          <w:lang w:val="pt-BR" w:eastAsia="en-US"/>
        </w:rPr>
        <w:t>услуг</w:t>
      </w:r>
      <w:r w:rsidRPr="00F157AD">
        <w:rPr>
          <w:rFonts w:eastAsia="DejaVu Sans"/>
          <w:b/>
          <w:kern w:val="1"/>
          <w:sz w:val="24"/>
          <w:szCs w:val="24"/>
          <w:lang w:val="en-US" w:eastAsia="en-US"/>
        </w:rPr>
        <w:t>:</w:t>
      </w:r>
    </w:p>
    <w:p w14:paraId="435A33C7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Наименование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услуг: </w:t>
      </w:r>
      <w:r w:rsidRPr="00F157AD">
        <w:rPr>
          <w:rFonts w:eastAsia="DejaVu Sans"/>
          <w:bCs/>
          <w:kern w:val="1"/>
          <w:sz w:val="24"/>
          <w:szCs w:val="24"/>
          <w:lang w:eastAsia="en-US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14:paraId="76813C58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Цель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оказания услуг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: </w:t>
      </w:r>
    </w:p>
    <w:p w14:paraId="56F5011E" w14:textId="77777777" w:rsidR="00F157AD" w:rsidRPr="00F157AD" w:rsidRDefault="00F157AD" w:rsidP="00F157AD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14:paraId="1038AD33" w14:textId="77777777" w:rsidR="00F157AD" w:rsidRPr="00F157AD" w:rsidRDefault="00F157AD" w:rsidP="00F157AD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</w:p>
    <w:p w14:paraId="69593413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firstLine="207"/>
        <w:contextualSpacing/>
        <w:jc w:val="both"/>
        <w:rPr>
          <w:rFonts w:eastAsia="DejaVu Sans"/>
          <w:b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b/>
          <w:kern w:val="1"/>
          <w:sz w:val="24"/>
          <w:szCs w:val="24"/>
          <w:lang w:val="pt-BR" w:eastAsia="en-US"/>
        </w:rPr>
        <w:t xml:space="preserve">Условия оказания услуг: </w:t>
      </w:r>
    </w:p>
    <w:p w14:paraId="1E2F9FBC" w14:textId="77777777" w:rsidR="00F157AD" w:rsidRPr="00F157AD" w:rsidRDefault="00F157AD" w:rsidP="00F157AD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Исполнитель должен обеспечить оказание услуг по следующим этапам:</w:t>
      </w:r>
    </w:p>
    <w:p w14:paraId="240FB92E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Разработка фирменн</w:t>
      </w:r>
      <w:r w:rsidRPr="00F157AD">
        <w:rPr>
          <w:rFonts w:eastAsia="DejaVu Sans"/>
          <w:kern w:val="1"/>
          <w:sz w:val="24"/>
          <w:szCs w:val="24"/>
          <w:lang w:eastAsia="en-US"/>
        </w:rPr>
        <w:t>ого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 стил</w:t>
      </w:r>
      <w:r w:rsidRPr="00F157AD">
        <w:rPr>
          <w:rFonts w:eastAsia="DejaVu Sans"/>
          <w:kern w:val="1"/>
          <w:sz w:val="24"/>
          <w:szCs w:val="24"/>
          <w:lang w:eastAsia="en-US"/>
        </w:rPr>
        <w:t>я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продукции ИП Петрова Н.И.,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включая:</w:t>
      </w:r>
    </w:p>
    <w:p w14:paraId="0A3FD0F0" w14:textId="77777777" w:rsidR="00F157AD" w:rsidRPr="00F157AD" w:rsidRDefault="00F157AD" w:rsidP="00F157AD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логотип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(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эскиз логотипа в цветном, монохромном и инверсном исполнении с номерами цветов по Pantone и CMYK;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масштабная сетка логотипа;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охранное поле лотопита;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размеры логотипа при исполнении на различных форматах носителей;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недопустимые вариации логотипа;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фирменные шрифты;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фирменный паттерн</w:t>
      </w:r>
      <w:r w:rsidRPr="00F157AD">
        <w:rPr>
          <w:rFonts w:eastAsia="DejaVu Sans"/>
          <w:kern w:val="1"/>
          <w:sz w:val="24"/>
          <w:szCs w:val="24"/>
          <w:lang w:eastAsia="en-US"/>
        </w:rPr>
        <w:t>);</w:t>
      </w:r>
    </w:p>
    <w:p w14:paraId="4D3F35A4" w14:textId="77777777" w:rsidR="00F157AD" w:rsidRPr="00F157AD" w:rsidRDefault="00F157AD" w:rsidP="00F157AD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/>
        <w:ind w:left="1276"/>
        <w:contextualSpacing/>
        <w:jc w:val="both"/>
        <w:rPr>
          <w:rFonts w:eastAsia="DejaVu Sans" w:cstheme="minorBidi"/>
          <w:kern w:val="1"/>
          <w:sz w:val="24"/>
          <w:szCs w:val="24"/>
          <w:lang w:val="pt-BR"/>
        </w:rPr>
      </w:pPr>
      <w:r w:rsidRPr="00F157AD">
        <w:rPr>
          <w:rFonts w:eastAsia="DejaVu Sans" w:cstheme="minorBidi"/>
          <w:kern w:val="1"/>
          <w:sz w:val="24"/>
          <w:szCs w:val="24"/>
        </w:rPr>
        <w:t>Три размерных ряда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 этикеток на продукцию </w:t>
      </w:r>
      <w:r w:rsidRPr="00F157AD">
        <w:rPr>
          <w:rFonts w:eastAsia="DejaVu Sans" w:cstheme="minorBidi"/>
          <w:kern w:val="1"/>
          <w:sz w:val="24"/>
          <w:szCs w:val="24"/>
        </w:rPr>
        <w:t xml:space="preserve">ИП Петрова Н.И. </w:t>
      </w:r>
    </w:p>
    <w:p w14:paraId="0CF9C619" w14:textId="77777777" w:rsidR="00F157AD" w:rsidRPr="00F157AD" w:rsidRDefault="00F157AD" w:rsidP="00F157AD">
      <w:pPr>
        <w:widowControl w:val="0"/>
        <w:numPr>
          <w:ilvl w:val="0"/>
          <w:numId w:val="19"/>
        </w:numPr>
        <w:tabs>
          <w:tab w:val="left" w:pos="993"/>
        </w:tabs>
        <w:suppressAutoHyphens/>
        <w:spacing w:after="200"/>
        <w:ind w:left="1276"/>
        <w:contextualSpacing/>
        <w:jc w:val="both"/>
        <w:rPr>
          <w:rFonts w:eastAsia="DejaVu Sans" w:cstheme="minorBidi"/>
          <w:kern w:val="1"/>
          <w:sz w:val="24"/>
          <w:szCs w:val="24"/>
          <w:lang w:val="pt-BR"/>
        </w:rPr>
      </w:pPr>
      <w:r w:rsidRPr="00F157AD">
        <w:rPr>
          <w:rFonts w:eastAsia="DejaVu Sans" w:cstheme="minorBidi"/>
          <w:kern w:val="1"/>
          <w:sz w:val="24"/>
          <w:szCs w:val="24"/>
          <w:lang w:val="pt-BR"/>
        </w:rPr>
        <w:t>Разработка рекомендаци</w:t>
      </w:r>
      <w:r w:rsidRPr="00F157AD">
        <w:rPr>
          <w:rFonts w:eastAsia="DejaVu Sans" w:cstheme="minorBidi"/>
          <w:kern w:val="1"/>
          <w:sz w:val="24"/>
          <w:szCs w:val="24"/>
        </w:rPr>
        <w:t>й</w:t>
      </w:r>
      <w:r w:rsidRPr="00F157AD">
        <w:rPr>
          <w:rFonts w:eastAsia="DejaVu Sans" w:cstheme="minorBidi"/>
          <w:kern w:val="1"/>
          <w:sz w:val="24"/>
          <w:szCs w:val="24"/>
          <w:lang w:val="pt-BR"/>
        </w:rPr>
        <w:t xml:space="preserve"> по оформлению официальной документации:</w:t>
      </w:r>
    </w:p>
    <w:p w14:paraId="653167AD" w14:textId="77777777" w:rsidR="00F157AD" w:rsidRPr="00F157AD" w:rsidRDefault="00F157AD" w:rsidP="00F157AD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after="200"/>
        <w:ind w:left="1276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фирменный бланк;</w:t>
      </w:r>
    </w:p>
    <w:p w14:paraId="33633356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Calibri"/>
          <w:sz w:val="24"/>
          <w:szCs w:val="20"/>
          <w:lang w:eastAsia="en-US"/>
        </w:rPr>
      </w:pPr>
      <w:r w:rsidRPr="00F157AD">
        <w:rPr>
          <w:rFonts w:eastAsia="Calibri"/>
          <w:sz w:val="24"/>
          <w:szCs w:val="20"/>
          <w:lang w:eastAsia="en-US"/>
        </w:rPr>
        <w:t xml:space="preserve">Разработать рекомендации по оформлению </w:t>
      </w:r>
      <w:r w:rsidRPr="00F157AD">
        <w:rPr>
          <w:rFonts w:eastAsia="Calibri"/>
          <w:sz w:val="24"/>
          <w:szCs w:val="20"/>
          <w:lang w:val="en-US" w:eastAsia="en-US"/>
        </w:rPr>
        <w:t>POS</w:t>
      </w:r>
      <w:r w:rsidRPr="00F157AD">
        <w:rPr>
          <w:rFonts w:eastAsia="Calibri"/>
          <w:sz w:val="24"/>
          <w:szCs w:val="20"/>
          <w:lang w:eastAsia="en-US"/>
        </w:rPr>
        <w:t>- материалов и рекламных носителей:</w:t>
      </w:r>
    </w:p>
    <w:p w14:paraId="7FB53BC3" w14:textId="77777777" w:rsidR="00F157AD" w:rsidRPr="00F157AD" w:rsidRDefault="00F157AD" w:rsidP="00F157AD">
      <w:pPr>
        <w:numPr>
          <w:ilvl w:val="0"/>
          <w:numId w:val="21"/>
        </w:numPr>
        <w:tabs>
          <w:tab w:val="left" w:pos="993"/>
        </w:tabs>
        <w:spacing w:after="200"/>
        <w:contextualSpacing/>
        <w:rPr>
          <w:rFonts w:eastAsiaTheme="minorEastAsia"/>
          <w:sz w:val="24"/>
          <w:szCs w:val="20"/>
        </w:rPr>
      </w:pPr>
      <w:r w:rsidRPr="00F157AD">
        <w:rPr>
          <w:rFonts w:eastAsiaTheme="minorEastAsia"/>
          <w:sz w:val="24"/>
          <w:szCs w:val="20"/>
        </w:rPr>
        <w:t>концепция фирменной брендированной упаковки;</w:t>
      </w:r>
    </w:p>
    <w:p w14:paraId="66C299A7" w14:textId="77777777" w:rsidR="00F157AD" w:rsidRPr="00F157AD" w:rsidRDefault="00F157AD" w:rsidP="00F157AD">
      <w:pPr>
        <w:numPr>
          <w:ilvl w:val="0"/>
          <w:numId w:val="21"/>
        </w:numPr>
        <w:tabs>
          <w:tab w:val="left" w:pos="993"/>
        </w:tabs>
        <w:spacing w:after="200"/>
        <w:contextualSpacing/>
        <w:rPr>
          <w:rFonts w:eastAsiaTheme="minorEastAsia"/>
          <w:sz w:val="24"/>
          <w:szCs w:val="20"/>
        </w:rPr>
      </w:pPr>
      <w:r w:rsidRPr="00F157AD">
        <w:rPr>
          <w:rFonts w:eastAsiaTheme="minorEastAsia"/>
          <w:sz w:val="24"/>
          <w:szCs w:val="20"/>
        </w:rPr>
        <w:t>фирменный плакат;</w:t>
      </w:r>
    </w:p>
    <w:p w14:paraId="528D9893" w14:textId="77777777" w:rsidR="00F157AD" w:rsidRPr="00F157AD" w:rsidRDefault="00F157AD" w:rsidP="00F157AD">
      <w:pPr>
        <w:numPr>
          <w:ilvl w:val="0"/>
          <w:numId w:val="21"/>
        </w:numPr>
        <w:tabs>
          <w:tab w:val="left" w:pos="993"/>
        </w:tabs>
        <w:spacing w:after="200"/>
        <w:contextualSpacing/>
        <w:rPr>
          <w:rFonts w:eastAsiaTheme="minorEastAsia"/>
          <w:sz w:val="24"/>
          <w:szCs w:val="20"/>
        </w:rPr>
      </w:pPr>
      <w:r w:rsidRPr="00F157AD">
        <w:rPr>
          <w:rFonts w:eastAsiaTheme="minorEastAsia"/>
          <w:sz w:val="24"/>
          <w:szCs w:val="20"/>
        </w:rPr>
        <w:t>фирменный воблер;</w:t>
      </w:r>
    </w:p>
    <w:p w14:paraId="1D231160" w14:textId="77777777" w:rsidR="00F157AD" w:rsidRPr="00F157AD" w:rsidRDefault="00F157AD" w:rsidP="00F157AD">
      <w:pPr>
        <w:numPr>
          <w:ilvl w:val="0"/>
          <w:numId w:val="21"/>
        </w:numPr>
        <w:tabs>
          <w:tab w:val="left" w:pos="993"/>
        </w:tabs>
        <w:spacing w:after="200"/>
        <w:contextualSpacing/>
        <w:rPr>
          <w:rFonts w:eastAsiaTheme="minorEastAsia"/>
          <w:sz w:val="24"/>
          <w:szCs w:val="20"/>
        </w:rPr>
      </w:pPr>
      <w:r w:rsidRPr="00F157AD">
        <w:rPr>
          <w:rFonts w:eastAsiaTheme="minorEastAsia"/>
          <w:sz w:val="24"/>
          <w:szCs w:val="20"/>
        </w:rPr>
        <w:t>баннер;</w:t>
      </w:r>
    </w:p>
    <w:p w14:paraId="655E5EC6" w14:textId="77777777" w:rsidR="00F157AD" w:rsidRPr="00F157AD" w:rsidRDefault="00F157AD" w:rsidP="00F157AD">
      <w:pPr>
        <w:numPr>
          <w:ilvl w:val="0"/>
          <w:numId w:val="21"/>
        </w:numPr>
        <w:tabs>
          <w:tab w:val="left" w:pos="993"/>
        </w:tabs>
        <w:spacing w:after="200"/>
        <w:contextualSpacing/>
        <w:rPr>
          <w:rFonts w:eastAsiaTheme="minorEastAsia"/>
          <w:sz w:val="24"/>
          <w:szCs w:val="20"/>
        </w:rPr>
      </w:pPr>
      <w:r w:rsidRPr="00F157AD">
        <w:rPr>
          <w:rFonts w:eastAsiaTheme="minorEastAsia"/>
          <w:sz w:val="24"/>
          <w:szCs w:val="20"/>
        </w:rPr>
        <w:t xml:space="preserve">брендированный автотранспорт. </w:t>
      </w:r>
    </w:p>
    <w:p w14:paraId="7066B608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>Разработка рекомендаций по позиционированию и продвижению продукции.</w:t>
      </w:r>
    </w:p>
    <w:p w14:paraId="2F624486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Р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азработка </w:t>
      </w:r>
      <w:r w:rsidRPr="00F157AD">
        <w:rPr>
          <w:rFonts w:eastAsia="DejaVu Sans"/>
          <w:kern w:val="1"/>
          <w:sz w:val="24"/>
          <w:szCs w:val="24"/>
          <w:lang w:eastAsia="en-US"/>
        </w:rPr>
        <w:t>упаковки для розничных продаж (</w:t>
      </w:r>
      <w:r w:rsidRPr="00F157AD">
        <w:rPr>
          <w:rFonts w:eastAsia="Calibri"/>
          <w:sz w:val="24"/>
          <w:szCs w:val="24"/>
          <w:lang w:eastAsia="en-US"/>
        </w:rPr>
        <w:t>несколько вариантов упаковки под разные наименования выпечки).</w:t>
      </w:r>
    </w:p>
    <w:p w14:paraId="67EB86A5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Исполнитель обязан в течении </w:t>
      </w:r>
      <w:r w:rsidRPr="00F157AD">
        <w:rPr>
          <w:rFonts w:eastAsia="DejaVu Sans"/>
          <w:kern w:val="1"/>
          <w:sz w:val="24"/>
          <w:szCs w:val="24"/>
          <w:lang w:eastAsia="en-US"/>
        </w:rPr>
        <w:t>2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 дней назначить из числа своих сотрудников - лицо, ответственное за взаимодействие с 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Получателем услуги и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Заказчиком, и уведомить 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Получателя услуги и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 xml:space="preserve">Заказчика о назначении такого сотрудника на электронный почтовый адрес </w:t>
      </w:r>
      <w:r w:rsidRPr="00F157AD">
        <w:rPr>
          <w:rFonts w:eastAsia="DejaVu Sans"/>
          <w:kern w:val="1"/>
          <w:sz w:val="24"/>
          <w:szCs w:val="24"/>
          <w:lang w:eastAsia="en-US"/>
        </w:rPr>
        <w:t xml:space="preserve">Получателя услуги и </w:t>
      </w:r>
      <w:r w:rsidRPr="00F157AD">
        <w:rPr>
          <w:rFonts w:eastAsia="DejaVu Sans"/>
          <w:kern w:val="1"/>
          <w:sz w:val="24"/>
          <w:szCs w:val="24"/>
          <w:lang w:val="pt-BR" w:eastAsia="en-US"/>
        </w:rPr>
        <w:t>Заказчика</w:t>
      </w:r>
      <w:r w:rsidRPr="00F157AD">
        <w:rPr>
          <w:rFonts w:eastAsia="DejaVu Sans"/>
          <w:kern w:val="1"/>
          <w:sz w:val="24"/>
          <w:szCs w:val="24"/>
          <w:lang w:eastAsia="en-US"/>
        </w:rPr>
        <w:t>.</w:t>
      </w:r>
    </w:p>
    <w:p w14:paraId="51994A19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Обязанности Получателя услуг предоставить необходимые материалы для оказания услуг, в том числе:</w:t>
      </w:r>
    </w:p>
    <w:p w14:paraId="00BC78FA" w14:textId="77777777" w:rsidR="00F157AD" w:rsidRPr="00F157AD" w:rsidRDefault="00F157AD" w:rsidP="00F157AD">
      <w:pPr>
        <w:widowControl w:val="0"/>
        <w:numPr>
          <w:ilvl w:val="1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Заполнить бриф.</w:t>
      </w:r>
    </w:p>
    <w:p w14:paraId="5979C4C4" w14:textId="77777777" w:rsidR="00F157AD" w:rsidRPr="00F157AD" w:rsidRDefault="00F157AD" w:rsidP="00F157AD">
      <w:pPr>
        <w:numPr>
          <w:ilvl w:val="0"/>
          <w:numId w:val="18"/>
        </w:numPr>
        <w:tabs>
          <w:tab w:val="left" w:pos="993"/>
        </w:tabs>
        <w:spacing w:after="200"/>
        <w:ind w:firstLine="20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Theme="minorEastAsia"/>
          <w:sz w:val="24"/>
          <w:szCs w:val="24"/>
          <w:shd w:val="clear" w:color="auto" w:fill="FFFFFF"/>
        </w:rPr>
        <w:t>Исполнитель подготавливает по несколько предварительных вариантов оказываемых услуг, до полного согласования Получателем.</w:t>
      </w:r>
    </w:p>
    <w:p w14:paraId="2F7E8B04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14:paraId="24A7E867" w14:textId="77777777" w:rsidR="00F157AD" w:rsidRPr="00F157AD" w:rsidRDefault="00F157AD" w:rsidP="00F157AD">
      <w:pPr>
        <w:numPr>
          <w:ilvl w:val="0"/>
          <w:numId w:val="22"/>
        </w:numPr>
        <w:tabs>
          <w:tab w:val="left" w:pos="993"/>
        </w:tabs>
        <w:spacing w:after="200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Акт об оказанных услугах Заказчику;</w:t>
      </w:r>
    </w:p>
    <w:p w14:paraId="588B89FD" w14:textId="77777777" w:rsidR="00F157AD" w:rsidRPr="00F157AD" w:rsidRDefault="00F157AD" w:rsidP="00F157AD">
      <w:pPr>
        <w:numPr>
          <w:ilvl w:val="0"/>
          <w:numId w:val="22"/>
        </w:numPr>
        <w:tabs>
          <w:tab w:val="left" w:pos="993"/>
        </w:tabs>
        <w:spacing w:after="200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Акт передачи результата исполнения Заказчику и Получателю услуги;</w:t>
      </w:r>
    </w:p>
    <w:p w14:paraId="7C398F31" w14:textId="77777777" w:rsidR="00F157AD" w:rsidRPr="00F157AD" w:rsidRDefault="00F157AD" w:rsidP="00F157AD">
      <w:pPr>
        <w:numPr>
          <w:ilvl w:val="0"/>
          <w:numId w:val="22"/>
        </w:numPr>
        <w:tabs>
          <w:tab w:val="left" w:pos="993"/>
        </w:tabs>
        <w:spacing w:after="200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Результаты оказанных услуг на цифровом носителе (</w:t>
      </w:r>
      <w:proofErr w:type="spellStart"/>
      <w:r w:rsidRPr="00F157AD">
        <w:rPr>
          <w:rFonts w:eastAsia="DejaVu Sans"/>
          <w:kern w:val="1"/>
          <w:sz w:val="24"/>
          <w:szCs w:val="24"/>
          <w:lang w:eastAsia="en-US"/>
        </w:rPr>
        <w:t>флеш</w:t>
      </w:r>
      <w:proofErr w:type="spellEnd"/>
      <w:r w:rsidRPr="00F157AD">
        <w:rPr>
          <w:rFonts w:eastAsia="DejaVu Sans"/>
          <w:kern w:val="1"/>
          <w:sz w:val="24"/>
          <w:szCs w:val="24"/>
          <w:lang w:eastAsia="en-US"/>
        </w:rPr>
        <w:t xml:space="preserve"> карта или CD-диск), </w:t>
      </w:r>
    </w:p>
    <w:p w14:paraId="4737344D" w14:textId="77777777" w:rsidR="00F157AD" w:rsidRPr="00F157AD" w:rsidRDefault="00F157AD" w:rsidP="00F157AD">
      <w:pPr>
        <w:numPr>
          <w:ilvl w:val="0"/>
          <w:numId w:val="22"/>
        </w:numPr>
        <w:tabs>
          <w:tab w:val="left" w:pos="993"/>
        </w:tabs>
        <w:spacing w:after="200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Отчет по оказанным работам.</w:t>
      </w:r>
    </w:p>
    <w:p w14:paraId="2BDE3E39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lastRenderedPageBreak/>
        <w:t xml:space="preserve">Получатель услуги и Заказчик в течение 5 (пяти)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14:paraId="0805D8CB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Общий срок оказания услуг – не должен превышать 20 календарных дней с момента заключения договора.</w:t>
      </w:r>
    </w:p>
    <w:p w14:paraId="635A8D2E" w14:textId="77777777" w:rsidR="00F157AD" w:rsidRPr="00F157AD" w:rsidRDefault="00F157AD" w:rsidP="00F157A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Срок согласования – не должен превышать 20 календарных дней.</w:t>
      </w:r>
    </w:p>
    <w:p w14:paraId="23E708B6" w14:textId="77777777" w:rsidR="00F157AD" w:rsidRPr="00F157AD" w:rsidRDefault="00F157AD" w:rsidP="00F157A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14:paraId="7145F047" w14:textId="77777777" w:rsidR="00F157AD" w:rsidRPr="00F157AD" w:rsidRDefault="00F157AD" w:rsidP="00F157AD">
      <w:pPr>
        <w:tabs>
          <w:tab w:val="left" w:pos="993"/>
        </w:tabs>
        <w:ind w:firstLine="567"/>
        <w:contextualSpacing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14:paraId="231FBC8B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1390F7F1" w14:textId="77777777" w:rsidR="00F157AD" w:rsidRPr="00F157AD" w:rsidRDefault="00F157AD" w:rsidP="00F157AD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200"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14:paraId="3B848B0E" w14:textId="77777777" w:rsidR="00F157AD" w:rsidRPr="00F157AD" w:rsidRDefault="00F157AD" w:rsidP="00F157AD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F157AD">
        <w:rPr>
          <w:rFonts w:eastAsia="DejaVu Sans"/>
          <w:kern w:val="1"/>
          <w:sz w:val="24"/>
          <w:szCs w:val="24"/>
          <w:lang w:eastAsia="en-US"/>
        </w:rPr>
        <w:t>Место предоставления отчетных документов: г. Улан-Удэ, ул. Смолина 65.</w:t>
      </w:r>
    </w:p>
    <w:p w14:paraId="34F7DD5F" w14:textId="77777777" w:rsidR="00F157AD" w:rsidRPr="00F734D8" w:rsidRDefault="00F157A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157A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14"/>
  </w:num>
  <w:num w:numId="19">
    <w:abstractNumId w:val="20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2415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87D3C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7241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157AD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E23835A"/>
  <w15:docId w15:val="{E47AF610-4D42-455D-9294-4F7F782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2020-09-02T02:41:00Z</dcterms:created>
  <dcterms:modified xsi:type="dcterms:W3CDTF">2020-09-02T02:41:00Z</dcterms:modified>
</cp:coreProperties>
</file>